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3F" w:rsidRDefault="009C493F" w:rsidP="00A02146">
      <w:pPr>
        <w:pStyle w:val="NormalWeb"/>
        <w:spacing w:before="0" w:beforeAutospacing="0" w:after="0" w:afterAutospacing="0"/>
        <w:jc w:val="center"/>
        <w:rPr>
          <w:rFonts w:ascii="Arial" w:hAnsi="Arial" w:cs="Arial"/>
          <w:b/>
          <w:bCs/>
          <w:color w:val="000000"/>
          <w:sz w:val="72"/>
          <w:szCs w:val="72"/>
        </w:rPr>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9264" behindDoc="0" locked="0" layoutInCell="1" allowOverlap="1">
            <wp:simplePos x="0" y="0"/>
            <wp:positionH relativeFrom="margin">
              <wp:posOffset>2794635</wp:posOffset>
            </wp:positionH>
            <wp:positionV relativeFrom="margin">
              <wp:posOffset>1022985</wp:posOffset>
            </wp:positionV>
            <wp:extent cx="3867150" cy="3028950"/>
            <wp:effectExtent l="0" t="0" r="0" b="0"/>
            <wp:wrapSquare wrapText="bothSides"/>
            <wp:docPr id="1" name="Picture 1" descr="Learning Federation - 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Federation - Schools.png"/>
                    <pic:cNvPicPr>
                      <a:picLocks noChangeAspect="1" noChangeArrowheads="1"/>
                    </pic:cNvPicPr>
                  </pic:nvPicPr>
                  <pic:blipFill>
                    <a:blip r:embed="rId7" cstate="print"/>
                    <a:srcRect/>
                    <a:stretch>
                      <a:fillRect/>
                    </a:stretch>
                  </pic:blipFill>
                  <pic:spPr bwMode="auto">
                    <a:xfrm>
                      <a:off x="0" y="0"/>
                      <a:ext cx="3867150" cy="3028950"/>
                    </a:xfrm>
                    <a:prstGeom prst="rect">
                      <a:avLst/>
                    </a:prstGeom>
                    <a:noFill/>
                    <a:ln w="9525">
                      <a:noFill/>
                      <a:miter lim="800000"/>
                      <a:headEnd/>
                      <a:tailEnd/>
                    </a:ln>
                  </pic:spPr>
                </pic:pic>
              </a:graphicData>
            </a:graphic>
          </wp:anchor>
        </w:drawing>
      </w:r>
      <w:r w:rsidR="009205FB">
        <w:rPr>
          <w:noProof/>
        </w:rPr>
        <w:pict>
          <v:shapetype id="_x0000_t202" coordsize="21600,21600" o:spt="202" path="m,l,21600r21600,l21600,xe">
            <v:stroke joinstyle="miter"/>
            <v:path gradientshapeok="t" o:connecttype="rect"/>
          </v:shapetype>
          <v:shape id="_x0000_s1030" type="#_x0000_t202" style="position:absolute;left:0;text-align:left;margin-left:13.5pt;margin-top:21.3pt;width:716.6pt;height:62.6pt;z-index:251668480;mso-wrap-style:none;mso-position-horizontal-relative:text;mso-position-vertical-relative:text" stroked="f">
            <v:textbox style="mso-fit-shape-to-text:t">
              <w:txbxContent>
                <w:p w:rsidR="009205FB" w:rsidRPr="00404E2F" w:rsidRDefault="009205FB" w:rsidP="009F2632">
                  <w:pPr>
                    <w:pStyle w:val="NormalWeb"/>
                    <w:spacing w:after="0"/>
                    <w:jc w:val="center"/>
                    <w:rPr>
                      <w:rFonts w:ascii="Arial" w:hAnsi="Arial" w:cs="Arial"/>
                      <w:b/>
                      <w:bCs/>
                      <w:color w:val="000000"/>
                      <w:sz w:val="72"/>
                      <w:szCs w:val="72"/>
                    </w:rPr>
                  </w:pPr>
                  <w:r>
                    <w:rPr>
                      <w:rFonts w:ascii="Arial" w:hAnsi="Arial" w:cs="Arial"/>
                      <w:b/>
                      <w:bCs/>
                      <w:color w:val="000000"/>
                      <w:sz w:val="72"/>
                      <w:szCs w:val="72"/>
                    </w:rPr>
                    <w:t>Mead Pupil Premium Strategy Statement </w:t>
                  </w:r>
                </w:p>
              </w:txbxContent>
            </v:textbox>
            <w10:wrap type="square"/>
          </v:shape>
        </w:pict>
      </w:r>
      <w:r w:rsidR="009205FB">
        <w:rPr>
          <w:rFonts w:ascii="Arial" w:hAnsi="Arial" w:cs="Arial"/>
          <w:b/>
          <w:bCs/>
          <w:noProof/>
          <w:color w:val="000000"/>
          <w:sz w:val="72"/>
          <w:szCs w:val="72"/>
        </w:rPr>
        <w:pict>
          <v:rect id="_x0000_s1029" style="position:absolute;left:0;text-align:left;margin-left:671.55pt;margin-top:-27.45pt;width:79.5pt;height:51.75pt;z-index:251666432;mso-position-horizontal-relative:text;mso-position-vertical-relative:text" stroked="f"/>
        </w:pict>
      </w:r>
    </w:p>
    <w:p w:rsidR="00A02146" w:rsidRDefault="00A02146" w:rsidP="00A02146">
      <w:pPr>
        <w:pStyle w:val="NormalWeb"/>
        <w:spacing w:before="0" w:beforeAutospacing="0" w:after="0" w:afterAutospacing="0"/>
        <w:jc w:val="center"/>
        <w:rPr>
          <w:rFonts w:ascii="Arial" w:hAnsi="Arial" w:cs="Arial"/>
          <w:b/>
          <w:bCs/>
          <w:color w:val="000000"/>
          <w:sz w:val="72"/>
          <w:szCs w:val="72"/>
        </w:rPr>
      </w:pPr>
    </w:p>
    <w:p w:rsidR="00A02146" w:rsidRDefault="00A02146" w:rsidP="00A02146">
      <w:pPr>
        <w:pStyle w:val="NormalWeb"/>
        <w:spacing w:before="0" w:beforeAutospacing="0" w:after="0" w:afterAutospacing="0"/>
        <w:jc w:val="center"/>
        <w:rPr>
          <w:rFonts w:ascii="Arial" w:hAnsi="Arial" w:cs="Arial"/>
          <w:b/>
          <w:bCs/>
          <w:color w:val="000000"/>
          <w:sz w:val="72"/>
          <w:szCs w:val="72"/>
        </w:rPr>
      </w:pPr>
    </w:p>
    <w:p w:rsidR="00A02146" w:rsidRDefault="00A02146" w:rsidP="00A02146">
      <w:pPr>
        <w:pStyle w:val="NormalWeb"/>
        <w:spacing w:before="0" w:beforeAutospacing="0" w:after="0" w:afterAutospacing="0"/>
        <w:jc w:val="center"/>
        <w:rPr>
          <w:rFonts w:ascii="Arial" w:hAnsi="Arial" w:cs="Arial"/>
          <w:b/>
          <w:bCs/>
          <w:color w:val="000000"/>
          <w:sz w:val="72"/>
          <w:szCs w:val="72"/>
        </w:rPr>
      </w:pPr>
    </w:p>
    <w:p w:rsidR="00A02146" w:rsidRDefault="00A02146" w:rsidP="00A02146">
      <w:pPr>
        <w:pStyle w:val="NormalWeb"/>
        <w:spacing w:before="0" w:beforeAutospacing="0" w:after="0" w:afterAutospacing="0"/>
        <w:jc w:val="center"/>
        <w:rPr>
          <w:rFonts w:ascii="Arial" w:hAnsi="Arial" w:cs="Arial"/>
          <w:b/>
          <w:bCs/>
          <w:color w:val="000000"/>
          <w:sz w:val="72"/>
          <w:szCs w:val="72"/>
        </w:rPr>
      </w:pPr>
    </w:p>
    <w:p w:rsidR="00A02146" w:rsidRDefault="00A02146" w:rsidP="00A02146">
      <w:pPr>
        <w:pStyle w:val="NormalWeb"/>
        <w:spacing w:before="0" w:beforeAutospacing="0" w:after="0" w:afterAutospacing="0"/>
        <w:jc w:val="center"/>
        <w:rPr>
          <w:rFonts w:ascii="Arial" w:hAnsi="Arial" w:cs="Arial"/>
          <w:b/>
          <w:bCs/>
          <w:color w:val="000000"/>
          <w:sz w:val="72"/>
          <w:szCs w:val="72"/>
        </w:rPr>
      </w:pPr>
    </w:p>
    <w:p w:rsidR="00A02146" w:rsidRPr="00A02146" w:rsidRDefault="00A02146" w:rsidP="009C493F">
      <w:pPr>
        <w:pStyle w:val="NormalWeb"/>
        <w:spacing w:before="0" w:beforeAutospacing="0" w:after="0" w:afterAutospacing="0"/>
        <w:rPr>
          <w:rFonts w:ascii="Arial" w:hAnsi="Arial" w:cs="Arial"/>
          <w:b/>
          <w:bCs/>
          <w:color w:val="000000"/>
          <w:sz w:val="36"/>
          <w:szCs w:val="72"/>
        </w:rPr>
      </w:pPr>
    </w:p>
    <w:p w:rsidR="00A02146" w:rsidRDefault="00A02146" w:rsidP="00A02146">
      <w:pPr>
        <w:pStyle w:val="NormalWeb"/>
        <w:spacing w:before="0" w:beforeAutospacing="0" w:after="0" w:afterAutospacing="0"/>
        <w:jc w:val="center"/>
      </w:pPr>
      <w:r>
        <w:rPr>
          <w:rFonts w:ascii="Arial" w:hAnsi="Arial" w:cs="Arial"/>
          <w:b/>
          <w:bCs/>
          <w:color w:val="000000"/>
          <w:sz w:val="72"/>
          <w:szCs w:val="72"/>
        </w:rPr>
        <w:t>2021 – 2022</w:t>
      </w:r>
    </w:p>
    <w:p w:rsidR="009C493F" w:rsidRDefault="009C493F" w:rsidP="009C493F">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9C493F" w:rsidRDefault="009205FB" w:rsidP="0067654E">
      <w:pPr>
        <w:pStyle w:val="Heading2"/>
        <w:spacing w:before="240"/>
        <w:rPr>
          <w:color w:val="auto"/>
          <w:u w:val="single"/>
        </w:rPr>
      </w:pPr>
      <w:r>
        <w:rPr>
          <w:noProof/>
          <w:color w:val="auto"/>
          <w:u w:val="single"/>
        </w:rPr>
        <w:pict>
          <v:rect id="_x0000_s1031" style="position:absolute;margin-left:683.55pt;margin-top:-26.7pt;width:63pt;height:55.5pt;z-index:251669504" stroked="f"/>
        </w:pict>
      </w:r>
      <w:r w:rsidR="009C493F" w:rsidRPr="009C493F">
        <w:rPr>
          <w:noProof/>
          <w:color w:val="auto"/>
          <w:u w:val="single"/>
        </w:rPr>
        <w:drawing>
          <wp:anchor distT="0" distB="0" distL="114300" distR="114300" simplePos="0" relativeHeight="251665408" behindDoc="0" locked="0" layoutInCell="1" allowOverlap="1">
            <wp:simplePos x="0" y="0"/>
            <wp:positionH relativeFrom="margin">
              <wp:align>center</wp:align>
            </wp:positionH>
            <wp:positionV relativeFrom="margin">
              <wp:posOffset>-263525</wp:posOffset>
            </wp:positionV>
            <wp:extent cx="1571625" cy="1571625"/>
            <wp:effectExtent l="19050" t="0" r="9525" b="0"/>
            <wp:wrapThrough wrapText="bothSides">
              <wp:wrapPolygon edited="0">
                <wp:start x="9949" y="0"/>
                <wp:lineTo x="7593" y="262"/>
                <wp:lineTo x="1833" y="3142"/>
                <wp:lineTo x="1833" y="4189"/>
                <wp:lineTo x="-262" y="8378"/>
                <wp:lineTo x="-262" y="12567"/>
                <wp:lineTo x="1571" y="16756"/>
                <wp:lineTo x="1571" y="17280"/>
                <wp:lineTo x="6284" y="20945"/>
                <wp:lineTo x="7069" y="21207"/>
                <wp:lineTo x="9164" y="21469"/>
                <wp:lineTo x="9949" y="21469"/>
                <wp:lineTo x="11520" y="21469"/>
                <wp:lineTo x="12567" y="21469"/>
                <wp:lineTo x="14924" y="21207"/>
                <wp:lineTo x="14662" y="20945"/>
                <wp:lineTo x="15447" y="20945"/>
                <wp:lineTo x="20160" y="17280"/>
                <wp:lineTo x="20160" y="16756"/>
                <wp:lineTo x="21731" y="12829"/>
                <wp:lineTo x="21731" y="8378"/>
                <wp:lineTo x="20945" y="6545"/>
                <wp:lineTo x="19898" y="4189"/>
                <wp:lineTo x="20160" y="3142"/>
                <wp:lineTo x="14138" y="262"/>
                <wp:lineTo x="11782" y="0"/>
                <wp:lineTo x="9949" y="0"/>
              </wp:wrapPolygon>
            </wp:wrapThrough>
            <wp:docPr id="3" name="Picture 4" descr="Mead Badge -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ad Badge - MASTER.png"/>
                    <pic:cNvPicPr>
                      <a:picLocks noChangeAspect="1" noChangeArrowheads="1"/>
                    </pic:cNvPicPr>
                  </pic:nvPicPr>
                  <pic:blipFill>
                    <a:blip r:embed="rId8" cstate="print"/>
                    <a:srcRect/>
                    <a:stretch>
                      <a:fillRect/>
                    </a:stretch>
                  </pic:blipFill>
                  <pic:spPr bwMode="auto">
                    <a:xfrm>
                      <a:off x="0" y="0"/>
                      <a:ext cx="1571625" cy="1571625"/>
                    </a:xfrm>
                    <a:prstGeom prst="rect">
                      <a:avLst/>
                    </a:prstGeom>
                    <a:noFill/>
                    <a:ln w="9525">
                      <a:noFill/>
                      <a:miter lim="800000"/>
                      <a:headEnd/>
                      <a:tailEnd/>
                    </a:ln>
                  </pic:spPr>
                </pic:pic>
              </a:graphicData>
            </a:graphic>
          </wp:anchor>
        </w:drawing>
      </w:r>
    </w:p>
    <w:p w:rsidR="009C493F" w:rsidRDefault="009C493F" w:rsidP="0067654E">
      <w:pPr>
        <w:pStyle w:val="Heading2"/>
        <w:spacing w:before="240"/>
        <w:rPr>
          <w:color w:val="auto"/>
          <w:u w:val="single"/>
        </w:rPr>
      </w:pPr>
    </w:p>
    <w:p w:rsidR="009C493F" w:rsidRDefault="009205FB" w:rsidP="009C493F">
      <w:r>
        <w:rPr>
          <w:noProof/>
        </w:rPr>
        <w:pict>
          <v:shape id="_x0000_s1028" type="#_x0000_t202" style="position:absolute;margin-left:8.25pt;margin-top:61pt;width:729.25pt;height:126.75pt;z-index:251663360;mso-wrap-style:none">
            <v:textbox style="mso-fit-shape-to-text:t">
              <w:txbxContent>
                <w:p w:rsidR="009205FB" w:rsidRDefault="009205FB" w:rsidP="001751A6">
                  <w:pPr>
                    <w:pStyle w:val="Heading1"/>
                    <w:rPr>
                      <w:b w:val="0"/>
                      <w:bCs/>
                      <w:color w:val="auto"/>
                      <w:sz w:val="24"/>
                    </w:rPr>
                  </w:pPr>
                  <w:r>
                    <w:rPr>
                      <w:b w:val="0"/>
                      <w:bCs/>
                      <w:color w:val="auto"/>
                      <w:sz w:val="24"/>
                    </w:rPr>
                    <w:t xml:space="preserve">This statement details our school’s use of pupil premium (and recovery premium for the 2021 to 2022 academic year) funding to help improve the attainment of our disadvantaged pupils. It outlines our pupil premium strategy, how we intend to spend the funding in this academic year and the effect that last year’s spending of pupil premium had within our school. </w:t>
                  </w:r>
                </w:p>
                <w:p w:rsidR="009205FB" w:rsidRPr="00F269E6" w:rsidRDefault="009205FB" w:rsidP="00A02146">
                  <w:pPr>
                    <w:pStyle w:val="Heading2"/>
                    <w:spacing w:before="240"/>
                    <w:rPr>
                      <w:b w:val="0"/>
                      <w:color w:val="auto"/>
                      <w:sz w:val="24"/>
                    </w:rPr>
                  </w:pPr>
                  <w:r w:rsidRPr="00F269E6">
                    <w:rPr>
                      <w:b w:val="0"/>
                      <w:color w:val="auto"/>
                      <w:sz w:val="24"/>
                    </w:rPr>
                    <w:t xml:space="preserve">The EEF (Education Endowment) Toolkit was used alongside what has worked previously in school when deciding the evidence or rationale of the school’s action. Red shows the impact in months from research of our chosen activity. </w:t>
                  </w:r>
                </w:p>
                <w:p w:rsidR="009205FB" w:rsidRPr="002169DE" w:rsidRDefault="009205FB" w:rsidP="009F2632">
                  <w:pPr>
                    <w:pStyle w:val="Heading2"/>
                    <w:spacing w:before="240"/>
                    <w:rPr>
                      <w:b w:val="0"/>
                      <w:color w:val="auto"/>
                      <w:sz w:val="24"/>
                    </w:rPr>
                  </w:pPr>
                  <w:r w:rsidRPr="00F269E6">
                    <w:rPr>
                      <w:b w:val="0"/>
                      <w:color w:val="auto"/>
                      <w:sz w:val="24"/>
                    </w:rPr>
                    <w:t>See link for further information</w:t>
                  </w:r>
                  <w:r w:rsidRPr="00A02146">
                    <w:rPr>
                      <w:color w:val="auto"/>
                      <w:sz w:val="24"/>
                    </w:rPr>
                    <w:t xml:space="preserve"> </w:t>
                  </w:r>
                  <w:hyperlink r:id="rId9" w:history="1">
                    <w:r w:rsidRPr="00A76524">
                      <w:rPr>
                        <w:rStyle w:val="Hyperlink"/>
                      </w:rPr>
                      <w:t>https://educationendowmentfoundation.org.uk/evidence-summaries/teaching-learning-toolkit/</w:t>
                    </w:r>
                  </w:hyperlink>
                </w:p>
              </w:txbxContent>
            </v:textbox>
            <w10:wrap type="square"/>
          </v:shape>
        </w:pict>
      </w:r>
    </w:p>
    <w:p w:rsidR="009C493F" w:rsidRDefault="009C493F" w:rsidP="009C493F"/>
    <w:p w:rsidR="009C493F" w:rsidRPr="009C493F" w:rsidRDefault="009C493F" w:rsidP="009C493F"/>
    <w:p w:rsidR="009C493F" w:rsidRDefault="009C493F" w:rsidP="0067654E">
      <w:pPr>
        <w:pStyle w:val="Heading2"/>
        <w:spacing w:before="240"/>
        <w:rPr>
          <w:color w:val="auto"/>
          <w:u w:val="single"/>
        </w:rPr>
      </w:pPr>
    </w:p>
    <w:p w:rsidR="009C493F" w:rsidRDefault="009C493F" w:rsidP="0067654E">
      <w:pPr>
        <w:pStyle w:val="Heading2"/>
        <w:spacing w:before="240"/>
        <w:rPr>
          <w:color w:val="auto"/>
          <w:u w:val="single"/>
        </w:rPr>
      </w:pPr>
    </w:p>
    <w:p w:rsidR="009C493F" w:rsidRDefault="009C493F" w:rsidP="009C493F">
      <w:pPr>
        <w:pStyle w:val="Heading2"/>
        <w:spacing w:before="240"/>
        <w:rPr>
          <w:color w:val="auto"/>
          <w:u w:val="single"/>
        </w:rPr>
      </w:pPr>
    </w:p>
    <w:p w:rsidR="009C493F" w:rsidRDefault="009C493F" w:rsidP="009C493F"/>
    <w:p w:rsidR="009C493F" w:rsidRDefault="009C493F" w:rsidP="009C493F"/>
    <w:p w:rsidR="009C493F" w:rsidRPr="009C493F" w:rsidRDefault="009C493F" w:rsidP="009C493F"/>
    <w:p w:rsidR="0067654E" w:rsidRPr="00A02146" w:rsidRDefault="0067654E" w:rsidP="0067654E">
      <w:pPr>
        <w:pStyle w:val="Heading2"/>
        <w:spacing w:before="240"/>
        <w:rPr>
          <w:color w:val="auto"/>
          <w:u w:val="single"/>
        </w:rPr>
      </w:pPr>
      <w:r w:rsidRPr="00A02146">
        <w:rPr>
          <w:color w:val="auto"/>
          <w:u w:val="single"/>
        </w:rPr>
        <w:t>School overview</w:t>
      </w:r>
    </w:p>
    <w:tbl>
      <w:tblPr>
        <w:tblW w:w="5000" w:type="pct"/>
        <w:tblCellMar>
          <w:left w:w="10" w:type="dxa"/>
          <w:right w:w="10" w:type="dxa"/>
        </w:tblCellMar>
        <w:tblLook w:val="04A0" w:firstRow="1" w:lastRow="0" w:firstColumn="1" w:lastColumn="0" w:noHBand="0" w:noVBand="1"/>
      </w:tblPr>
      <w:tblGrid>
        <w:gridCol w:w="9747"/>
        <w:gridCol w:w="5039"/>
      </w:tblGrid>
      <w:tr w:rsidR="0067654E" w:rsidTr="009F2632">
        <w:tc>
          <w:tcPr>
            <w:tcW w:w="9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7654E" w:rsidRDefault="0067654E" w:rsidP="009F2632">
            <w:pPr>
              <w:pStyle w:val="TableHeader"/>
              <w:jc w:val="left"/>
            </w:pPr>
            <w:r>
              <w:t>Detail</w:t>
            </w:r>
          </w:p>
        </w:tc>
        <w:tc>
          <w:tcPr>
            <w:tcW w:w="50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7654E" w:rsidRDefault="0067654E" w:rsidP="009F2632">
            <w:pPr>
              <w:pStyle w:val="TableHeader"/>
              <w:jc w:val="left"/>
            </w:pPr>
            <w:r>
              <w:t>Data</w:t>
            </w:r>
          </w:p>
        </w:tc>
      </w:tr>
      <w:tr w:rsidR="0067654E" w:rsidTr="009F2632">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F2632">
            <w:pPr>
              <w:pStyle w:val="TableRow"/>
            </w:pPr>
            <w:r>
              <w:t>School name</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F2632">
            <w:pPr>
              <w:pStyle w:val="TableRow"/>
            </w:pPr>
            <w:r>
              <w:t>Mead Primary School</w:t>
            </w:r>
          </w:p>
        </w:tc>
      </w:tr>
      <w:tr w:rsidR="0067654E" w:rsidTr="009F2632">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F2632">
            <w:pPr>
              <w:pStyle w:val="TableRow"/>
            </w:pPr>
            <w:r>
              <w:t xml:space="preserve">Number of pupils in school </w:t>
            </w:r>
            <w:r w:rsidR="009205FB">
              <w:t>(Year R to Year 6)</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9205FB" w:rsidP="009F2632">
            <w:pPr>
              <w:pStyle w:val="TableRow"/>
            </w:pPr>
            <w:r>
              <w:t>650</w:t>
            </w:r>
          </w:p>
        </w:tc>
      </w:tr>
      <w:tr w:rsidR="0067654E" w:rsidTr="009F2632">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F2632">
            <w:pPr>
              <w:pStyle w:val="TableRow"/>
            </w:pPr>
            <w:r>
              <w:t>Proportion (%) of pupil premium eligible pupils</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205FB">
            <w:pPr>
              <w:pStyle w:val="TableRow"/>
            </w:pPr>
            <w:r>
              <w:t>3</w:t>
            </w:r>
            <w:r w:rsidR="009205FB">
              <w:t>9</w:t>
            </w:r>
            <w:r>
              <w:t>% (2</w:t>
            </w:r>
            <w:r w:rsidR="009205FB">
              <w:t>55</w:t>
            </w:r>
            <w:r>
              <w:t>)</w:t>
            </w:r>
          </w:p>
        </w:tc>
      </w:tr>
      <w:tr w:rsidR="0067654E" w:rsidTr="009F2632">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C493F">
            <w:pPr>
              <w:pStyle w:val="TableRow"/>
            </w:pPr>
            <w:r>
              <w:rPr>
                <w:szCs w:val="22"/>
              </w:rPr>
              <w:t xml:space="preserve">Academic year/years that our current pupil premium strategy plan covers </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573D7">
            <w:pPr>
              <w:pStyle w:val="TableRow"/>
            </w:pPr>
            <w:r>
              <w:t>2021-202</w:t>
            </w:r>
            <w:r w:rsidR="009573D7">
              <w:t>4</w:t>
            </w:r>
          </w:p>
        </w:tc>
      </w:tr>
      <w:tr w:rsidR="0067654E" w:rsidTr="009F2632">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F2632">
            <w:pPr>
              <w:pStyle w:val="TableRow"/>
            </w:pPr>
            <w:r>
              <w:rPr>
                <w:szCs w:val="22"/>
              </w:rPr>
              <w:t>Date this statement was published</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F2632">
            <w:pPr>
              <w:pStyle w:val="TableRow"/>
            </w:pPr>
            <w:r>
              <w:t>November 2021</w:t>
            </w:r>
          </w:p>
        </w:tc>
      </w:tr>
      <w:tr w:rsidR="0067654E" w:rsidTr="009F2632">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F2632">
            <w:pPr>
              <w:pStyle w:val="TableRow"/>
            </w:pPr>
            <w:r>
              <w:rPr>
                <w:szCs w:val="22"/>
              </w:rPr>
              <w:t>Date on which it will be reviewed</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F2632">
            <w:pPr>
              <w:pStyle w:val="TableRow"/>
            </w:pPr>
            <w:r>
              <w:t>September 2022</w:t>
            </w:r>
          </w:p>
        </w:tc>
      </w:tr>
      <w:tr w:rsidR="0067654E" w:rsidTr="009F2632">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F2632">
            <w:pPr>
              <w:pStyle w:val="TableRow"/>
            </w:pPr>
            <w:r>
              <w:t>Statement authorised by</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573D7">
            <w:pPr>
              <w:pStyle w:val="TableRow"/>
            </w:pPr>
            <w:r>
              <w:t xml:space="preserve">David Denchfield </w:t>
            </w:r>
          </w:p>
        </w:tc>
      </w:tr>
      <w:tr w:rsidR="0067654E" w:rsidTr="009F2632">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F2632">
            <w:pPr>
              <w:pStyle w:val="TableRow"/>
            </w:pPr>
            <w:r>
              <w:t>Pupil premium lead</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573D7">
            <w:pPr>
              <w:pStyle w:val="TableRow"/>
            </w:pPr>
            <w:r>
              <w:t xml:space="preserve">Amy Holmes </w:t>
            </w:r>
          </w:p>
        </w:tc>
      </w:tr>
      <w:tr w:rsidR="0067654E" w:rsidTr="009F2632">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9205FB" w:rsidP="009F2632">
            <w:pPr>
              <w:pStyle w:val="TableRow"/>
            </w:pPr>
            <w:r>
              <w:t>Governor</w:t>
            </w:r>
            <w:r w:rsidR="0067654E">
              <w:rPr>
                <w:szCs w:val="22"/>
              </w:rPr>
              <w:t xml:space="preserve"> </w:t>
            </w:r>
            <w:r w:rsidR="0067654E">
              <w:t>lead</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9C493F" w:rsidP="009F2632">
            <w:pPr>
              <w:pStyle w:val="TableRow"/>
            </w:pPr>
            <w:r>
              <w:t>Alan Kemp</w:t>
            </w:r>
          </w:p>
        </w:tc>
      </w:tr>
    </w:tbl>
    <w:p w:rsidR="0067654E" w:rsidRPr="00A02146" w:rsidRDefault="0067654E" w:rsidP="0067654E">
      <w:pPr>
        <w:spacing w:before="480" w:line="240" w:lineRule="auto"/>
        <w:rPr>
          <w:b/>
          <w:color w:val="auto"/>
          <w:sz w:val="32"/>
          <w:szCs w:val="32"/>
          <w:u w:val="single"/>
        </w:rPr>
      </w:pPr>
      <w:r w:rsidRPr="00A02146">
        <w:rPr>
          <w:b/>
          <w:color w:val="auto"/>
          <w:sz w:val="32"/>
          <w:szCs w:val="32"/>
          <w:u w:val="single"/>
        </w:rPr>
        <w:t>Funding overview</w:t>
      </w:r>
    </w:p>
    <w:tbl>
      <w:tblPr>
        <w:tblW w:w="14852" w:type="dxa"/>
        <w:tblCellMar>
          <w:left w:w="10" w:type="dxa"/>
          <w:right w:w="10" w:type="dxa"/>
        </w:tblCellMar>
        <w:tblLook w:val="04A0" w:firstRow="1" w:lastRow="0" w:firstColumn="1" w:lastColumn="0" w:noHBand="0" w:noVBand="1"/>
      </w:tblPr>
      <w:tblGrid>
        <w:gridCol w:w="9747"/>
        <w:gridCol w:w="5105"/>
      </w:tblGrid>
      <w:tr w:rsidR="0067654E" w:rsidTr="006340F8">
        <w:trPr>
          <w:trHeight w:val="381"/>
        </w:trPr>
        <w:tc>
          <w:tcPr>
            <w:tcW w:w="9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7654E" w:rsidRDefault="0067654E" w:rsidP="009F2632">
            <w:pPr>
              <w:pStyle w:val="TableRow"/>
            </w:pPr>
            <w:r>
              <w:rPr>
                <w:b/>
              </w:rPr>
              <w:t>Detail</w:t>
            </w:r>
          </w:p>
        </w:tc>
        <w:tc>
          <w:tcPr>
            <w:tcW w:w="51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7654E" w:rsidRDefault="0067654E" w:rsidP="009F2632">
            <w:pPr>
              <w:pStyle w:val="TableRow"/>
            </w:pPr>
            <w:r>
              <w:rPr>
                <w:b/>
              </w:rPr>
              <w:t>Amount</w:t>
            </w:r>
          </w:p>
        </w:tc>
      </w:tr>
      <w:tr w:rsidR="0067654E" w:rsidTr="006340F8">
        <w:trPr>
          <w:trHeight w:val="381"/>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54E" w:rsidRDefault="0067654E" w:rsidP="009F2632">
            <w:pPr>
              <w:pStyle w:val="TableRow"/>
            </w:pPr>
            <w:r>
              <w:t>Pupil premium funding allocation this academic year</w:t>
            </w:r>
          </w:p>
        </w:tc>
        <w:tc>
          <w:tcPr>
            <w:tcW w:w="5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205FB">
            <w:pPr>
              <w:pStyle w:val="TableRow"/>
            </w:pPr>
            <w:r>
              <w:t>£</w:t>
            </w:r>
            <w:r w:rsidR="009205FB">
              <w:t>282</w:t>
            </w:r>
            <w:r>
              <w:t>,</w:t>
            </w:r>
            <w:r w:rsidR="009205FB">
              <w:t>220</w:t>
            </w:r>
          </w:p>
        </w:tc>
      </w:tr>
      <w:tr w:rsidR="0067654E" w:rsidTr="006340F8">
        <w:trPr>
          <w:trHeight w:val="381"/>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54E" w:rsidRDefault="0067654E" w:rsidP="009F2632">
            <w:pPr>
              <w:pStyle w:val="TableRow"/>
            </w:pPr>
            <w:r>
              <w:t>Recovery premium funding allocation this academic year</w:t>
            </w:r>
          </w:p>
        </w:tc>
        <w:tc>
          <w:tcPr>
            <w:tcW w:w="5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F2632">
            <w:pPr>
              <w:pStyle w:val="TableRow"/>
            </w:pPr>
            <w:r>
              <w:t>£17,925</w:t>
            </w:r>
          </w:p>
        </w:tc>
      </w:tr>
      <w:tr w:rsidR="0067654E" w:rsidTr="006340F8">
        <w:trPr>
          <w:trHeight w:val="381"/>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54E" w:rsidRDefault="0067654E" w:rsidP="009F2632">
            <w:pPr>
              <w:pStyle w:val="TableRow"/>
            </w:pPr>
            <w:r>
              <w:t>Pupil premium funding carried forward from previous years (enter £0 if not applicable)</w:t>
            </w:r>
          </w:p>
        </w:tc>
        <w:tc>
          <w:tcPr>
            <w:tcW w:w="5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9205FB" w:rsidP="009F2632">
            <w:pPr>
              <w:pStyle w:val="TableRow"/>
            </w:pPr>
            <w:r>
              <w:t>£24,932</w:t>
            </w:r>
          </w:p>
        </w:tc>
      </w:tr>
      <w:tr w:rsidR="0067654E" w:rsidTr="006340F8">
        <w:trPr>
          <w:trHeight w:val="1168"/>
        </w:trPr>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205FB">
            <w:pPr>
              <w:pStyle w:val="TableRow"/>
            </w:pPr>
            <w:r>
              <w:rPr>
                <w:b/>
              </w:rPr>
              <w:t>Total budget for this academic year</w:t>
            </w:r>
          </w:p>
        </w:tc>
        <w:tc>
          <w:tcPr>
            <w:tcW w:w="5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54E" w:rsidRDefault="0067654E" w:rsidP="009205FB">
            <w:pPr>
              <w:pStyle w:val="TableRow"/>
            </w:pPr>
            <w:r>
              <w:t>£32</w:t>
            </w:r>
            <w:r w:rsidR="009205FB">
              <w:t>5</w:t>
            </w:r>
            <w:r>
              <w:t>,07</w:t>
            </w:r>
            <w:r w:rsidR="009205FB">
              <w:t>7</w:t>
            </w:r>
          </w:p>
        </w:tc>
      </w:tr>
    </w:tbl>
    <w:bookmarkEnd w:id="2"/>
    <w:bookmarkEnd w:id="3"/>
    <w:bookmarkEnd w:id="4"/>
    <w:bookmarkEnd w:id="5"/>
    <w:bookmarkEnd w:id="6"/>
    <w:bookmarkEnd w:id="7"/>
    <w:bookmarkEnd w:id="8"/>
    <w:bookmarkEnd w:id="9"/>
    <w:bookmarkEnd w:id="10"/>
    <w:bookmarkEnd w:id="11"/>
    <w:bookmarkEnd w:id="12"/>
    <w:bookmarkEnd w:id="13"/>
    <w:p w:rsidR="009F2632" w:rsidRDefault="007F1C57" w:rsidP="009573D7">
      <w:pPr>
        <w:pStyle w:val="Heading1"/>
        <w:spacing w:after="0"/>
        <w:rPr>
          <w:color w:val="auto"/>
        </w:rPr>
      </w:pPr>
      <w:r>
        <w:rPr>
          <w:color w:val="auto"/>
        </w:rPr>
        <w:t>Further</w:t>
      </w:r>
      <w:r w:rsidR="009F2632">
        <w:rPr>
          <w:color w:val="auto"/>
        </w:rPr>
        <w:t xml:space="preserve"> School </w:t>
      </w:r>
      <w:r>
        <w:rPr>
          <w:color w:val="auto"/>
        </w:rPr>
        <w:t>Context</w:t>
      </w:r>
    </w:p>
    <w:p w:rsidR="009F2632" w:rsidRDefault="009205FB" w:rsidP="009F2632">
      <w:r>
        <w:rPr>
          <w:noProof/>
        </w:rPr>
        <w:pict>
          <v:shape id="_x0000_s1036" type="#_x0000_t202" style="position:absolute;margin-left:-9.9pt;margin-top:314.4pt;width:751.8pt;height:34.8pt;z-index:251673600">
            <v:textbox>
              <w:txbxContent>
                <w:p w:rsidR="009205FB" w:rsidRDefault="009205FB">
                  <w:r>
                    <w:t xml:space="preserve"> To narrow the attainment gap between disadvantaged and non-disadvantaged pupils nationally and within internal data. </w:t>
                  </w:r>
                </w:p>
              </w:txbxContent>
            </v:textbox>
          </v:shape>
        </w:pict>
      </w:r>
      <w:r>
        <w:rPr>
          <w:noProof/>
        </w:rPr>
        <w:pict>
          <v:shape id="_x0000_s1037" type="#_x0000_t202" style="position:absolute;margin-left:-10.5pt;margin-top:277.8pt;width:358.2pt;height:27.6pt;z-index:251674624" stroked="f">
            <v:textbox>
              <w:txbxContent>
                <w:p w:rsidR="009205FB" w:rsidRPr="002264D8" w:rsidRDefault="009205FB">
                  <w:pPr>
                    <w:rPr>
                      <w:b/>
                      <w:sz w:val="36"/>
                    </w:rPr>
                  </w:pPr>
                  <w:r w:rsidRPr="002264D8">
                    <w:rPr>
                      <w:b/>
                      <w:sz w:val="36"/>
                    </w:rPr>
                    <w:t>School Objective</w:t>
                  </w:r>
                </w:p>
              </w:txbxContent>
            </v:textbox>
          </v:shape>
        </w:pict>
      </w:r>
      <w:r>
        <w:rPr>
          <w:noProof/>
        </w:rPr>
        <w:pict>
          <v:shape id="_x0000_s1034" type="#_x0000_t202" style="position:absolute;margin-left:-10.5pt;margin-top:22.8pt;width:750.6pt;height:239.4pt;z-index:251670528">
            <v:textbox style="mso-next-textbox:#_x0000_s1034">
              <w:txbxContent>
                <w:p w:rsidR="009205FB" w:rsidRDefault="009205FB" w:rsidP="007F1C57">
                  <w:pPr>
                    <w:pStyle w:val="ListParagraph"/>
                    <w:numPr>
                      <w:ilvl w:val="0"/>
                      <w:numId w:val="15"/>
                    </w:numPr>
                  </w:pPr>
                  <w:r>
                    <w:t>We are a considerably larger than average primary school which serves the Gooshays Ward and wider Harold Hill community. We currently have 650 children on roll</w:t>
                  </w:r>
                  <w:r w:rsidR="006E5A07">
                    <w:t xml:space="preserve"> in Years R to 6 with an additional 86 </w:t>
                  </w:r>
                  <w:r>
                    <w:t>nursery pupils.</w:t>
                  </w:r>
                </w:p>
                <w:p w:rsidR="009205FB" w:rsidRDefault="009205FB" w:rsidP="007F1C57">
                  <w:pPr>
                    <w:pStyle w:val="ListParagraph"/>
                    <w:numPr>
                      <w:ilvl w:val="0"/>
                      <w:numId w:val="15"/>
                    </w:numPr>
                  </w:pPr>
                  <w:r>
                    <w:t xml:space="preserve">The Gooshays Ward which is an area of deprivation and in places with considerable social challenge. </w:t>
                  </w:r>
                </w:p>
                <w:p w:rsidR="009205FB" w:rsidRDefault="009205FB" w:rsidP="007F1C57">
                  <w:pPr>
                    <w:pStyle w:val="ListParagraph"/>
                    <w:numPr>
                      <w:ilvl w:val="0"/>
                      <w:numId w:val="15"/>
                    </w:numPr>
                  </w:pPr>
                  <w:r>
                    <w:t>Children under 16 living in families with relatively low income is over 32% higher than the Havering average and children under 16 living in families with absolute low Income is over 33% higher than the Havering average. Fuel poverty and out of work benefits are also similarly higher. Havering Data Intelligence Hub Report</w:t>
                  </w:r>
                </w:p>
                <w:p w:rsidR="009205FB" w:rsidRDefault="009205FB" w:rsidP="007F1C57">
                  <w:pPr>
                    <w:pStyle w:val="ListParagraph"/>
                    <w:numPr>
                      <w:ilvl w:val="0"/>
                      <w:numId w:val="15"/>
                    </w:numPr>
                  </w:pPr>
                  <w:r>
                    <w:t>We are a 3FE school which is currently undertaking building work to expand to 4FE. Currently, our Y1 cohort is 4FE with future 4FE year groups planned for September 2022 (starting with Reception). When full, we will have 912 children on roll.</w:t>
                  </w:r>
                </w:p>
                <w:p w:rsidR="009205FB" w:rsidRDefault="009205FB" w:rsidP="007F1C57">
                  <w:pPr>
                    <w:pStyle w:val="ListParagraph"/>
                    <w:numPr>
                      <w:ilvl w:val="0"/>
                      <w:numId w:val="15"/>
                    </w:numPr>
                  </w:pPr>
                  <w:r>
                    <w:t>We have two part time nursery sessions (am and pm) which offer 120 sessions across the day.</w:t>
                  </w:r>
                </w:p>
                <w:p w:rsidR="009205FB" w:rsidRDefault="009205FB" w:rsidP="007F1C57">
                  <w:pPr>
                    <w:pStyle w:val="ListParagraph"/>
                    <w:numPr>
                      <w:ilvl w:val="0"/>
                      <w:numId w:val="15"/>
                    </w:numPr>
                  </w:pPr>
                  <w:r>
                    <w:t>We have an Alternative Resource Provision for 12 autistic children (some pre-verbal).</w:t>
                  </w:r>
                </w:p>
                <w:p w:rsidR="009205FB" w:rsidRDefault="006E5A07" w:rsidP="007F1C57">
                  <w:pPr>
                    <w:pStyle w:val="ListParagraph"/>
                    <w:numPr>
                      <w:ilvl w:val="0"/>
                      <w:numId w:val="15"/>
                    </w:numPr>
                  </w:pPr>
                  <w:r>
                    <w:t>38</w:t>
                  </w:r>
                  <w:r w:rsidR="009205FB">
                    <w:t>% (246/</w:t>
                  </w:r>
                  <w:r>
                    <w:t>650</w:t>
                  </w:r>
                  <w:r w:rsidR="009205FB">
                    <w:t>) of our children receive FSM.</w:t>
                  </w:r>
                </w:p>
                <w:p w:rsidR="009205FB" w:rsidRDefault="009205FB" w:rsidP="007F1C57">
                  <w:pPr>
                    <w:pStyle w:val="ListParagraph"/>
                    <w:numPr>
                      <w:ilvl w:val="0"/>
                      <w:numId w:val="15"/>
                    </w:numPr>
                  </w:pPr>
                  <w:r>
                    <w:t>26.5% (197/736) of our children are EAL &amp; speak 34 different languages. This has steadily increased over the last 3 years.</w:t>
                  </w:r>
                </w:p>
                <w:p w:rsidR="009205FB" w:rsidRDefault="009205FB" w:rsidP="007F1C57">
                  <w:pPr>
                    <w:pStyle w:val="ListParagraph"/>
                    <w:numPr>
                      <w:ilvl w:val="0"/>
                      <w:numId w:val="15"/>
                    </w:numPr>
                  </w:pPr>
                  <w:r>
                    <w:t>11.1% (82/736) of our children are on the SEN register and 3.8% (28/736) have an EHCP.</w:t>
                  </w:r>
                </w:p>
              </w:txbxContent>
            </v:textbox>
          </v:shape>
        </w:pict>
      </w:r>
    </w:p>
    <w:p w:rsidR="00E66558" w:rsidRPr="00A02146" w:rsidRDefault="009D71E8" w:rsidP="009573D7">
      <w:pPr>
        <w:pStyle w:val="Heading1"/>
        <w:spacing w:after="0"/>
        <w:rPr>
          <w:color w:val="auto"/>
        </w:rPr>
      </w:pPr>
      <w:r w:rsidRPr="00A02146">
        <w:rPr>
          <w:color w:val="auto"/>
        </w:rPr>
        <w:t>Part A: Pupil premium strategy plan</w:t>
      </w:r>
    </w:p>
    <w:p w:rsidR="009573D7" w:rsidRPr="009573D7" w:rsidRDefault="009573D7" w:rsidP="009573D7">
      <w:pPr>
        <w:pStyle w:val="Heading2"/>
        <w:spacing w:before="0" w:after="0"/>
        <w:rPr>
          <w:color w:val="auto"/>
          <w:sz w:val="16"/>
        </w:rPr>
      </w:pPr>
      <w:bookmarkStart w:id="14" w:name="_Toc357771640"/>
      <w:bookmarkStart w:id="15" w:name="_Toc346793418"/>
    </w:p>
    <w:p w:rsidR="00E66558" w:rsidRDefault="009D71E8" w:rsidP="009573D7">
      <w:pPr>
        <w:pStyle w:val="Heading2"/>
        <w:spacing w:before="0" w:after="0"/>
        <w:rPr>
          <w:color w:val="auto"/>
        </w:rPr>
      </w:pPr>
      <w:r w:rsidRPr="00A02146">
        <w:rPr>
          <w:color w:val="auto"/>
        </w:rPr>
        <w:t>Statement of intent</w:t>
      </w:r>
    </w:p>
    <w:p w:rsidR="009573D7" w:rsidRPr="009573D7" w:rsidRDefault="009573D7" w:rsidP="009573D7">
      <w:pPr>
        <w:rPr>
          <w:sz w:val="2"/>
        </w:rPr>
      </w:pPr>
    </w:p>
    <w:tbl>
      <w:tblPr>
        <w:tblW w:w="14850" w:type="dxa"/>
        <w:tblCellMar>
          <w:left w:w="10" w:type="dxa"/>
          <w:right w:w="10" w:type="dxa"/>
        </w:tblCellMar>
        <w:tblLook w:val="04A0" w:firstRow="1" w:lastRow="0" w:firstColumn="1" w:lastColumn="0" w:noHBand="0" w:noVBand="1"/>
      </w:tblPr>
      <w:tblGrid>
        <w:gridCol w:w="14850"/>
      </w:tblGrid>
      <w:tr w:rsidR="00E66558" w:rsidTr="00A02146">
        <w:tc>
          <w:tcPr>
            <w:tcW w:w="14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278E" w:rsidRDefault="00CC278E" w:rsidP="00CC278E">
            <w:pPr>
              <w:shd w:val="clear" w:color="auto" w:fill="FFFFFF"/>
              <w:suppressAutoHyphens w:val="0"/>
              <w:autoSpaceDN/>
              <w:spacing w:after="0" w:line="300" w:lineRule="atLeast"/>
              <w:rPr>
                <w:rFonts w:cs="Arial"/>
                <w:color w:val="333333"/>
              </w:rPr>
            </w:pPr>
          </w:p>
          <w:p w:rsidR="00CC278E" w:rsidRDefault="00C32EFC" w:rsidP="00CC278E">
            <w:pPr>
              <w:shd w:val="clear" w:color="auto" w:fill="FFFFFF"/>
              <w:suppressAutoHyphens w:val="0"/>
              <w:autoSpaceDN/>
              <w:spacing w:after="0" w:line="300" w:lineRule="atLeast"/>
              <w:rPr>
                <w:rFonts w:cs="Arial"/>
              </w:rPr>
            </w:pPr>
            <w:r>
              <w:rPr>
                <w:rFonts w:cs="Arial"/>
                <w:color w:val="333333"/>
              </w:rPr>
              <w:t>Our aim is that</w:t>
            </w:r>
            <w:r w:rsidRPr="00C32EFC">
              <w:rPr>
                <w:rFonts w:cs="Arial"/>
                <w:color w:val="333333"/>
              </w:rPr>
              <w:t xml:space="preserve"> all children, regardless of the</w:t>
            </w:r>
            <w:r>
              <w:rPr>
                <w:rFonts w:cs="Arial"/>
                <w:color w:val="333333"/>
              </w:rPr>
              <w:t>ir</w:t>
            </w:r>
            <w:r w:rsidRPr="00C32EFC">
              <w:rPr>
                <w:rFonts w:cs="Arial"/>
                <w:color w:val="333333"/>
              </w:rPr>
              <w:t xml:space="preserve"> socio-economic background can flourish, both academically and socially. We believe that the best way to r</w:t>
            </w:r>
            <w:r>
              <w:rPr>
                <w:rFonts w:cs="Arial"/>
                <w:color w:val="333333"/>
              </w:rPr>
              <w:t>emove barriers f</w:t>
            </w:r>
            <w:r w:rsidR="009573D7">
              <w:rPr>
                <w:rFonts w:cs="Arial"/>
                <w:color w:val="333333"/>
              </w:rPr>
              <w:t>or disadvantaged children and</w:t>
            </w:r>
            <w:r w:rsidR="00CC278E">
              <w:rPr>
                <w:rFonts w:cs="Arial"/>
                <w:color w:val="333333"/>
              </w:rPr>
              <w:t xml:space="preserve"> to</w:t>
            </w:r>
            <w:r>
              <w:rPr>
                <w:rFonts w:cs="Arial"/>
                <w:color w:val="333333"/>
              </w:rPr>
              <w:t xml:space="preserve"> ensure that they are able to reach their full potential is </w:t>
            </w:r>
            <w:r w:rsidR="00E26A6F" w:rsidRPr="00C32EFC">
              <w:rPr>
                <w:rFonts w:cs="Arial"/>
              </w:rPr>
              <w:t>through</w:t>
            </w:r>
            <w:r>
              <w:rPr>
                <w:rFonts w:cs="Arial"/>
              </w:rPr>
              <w:t xml:space="preserve"> the delivery of a challenging and enriching </w:t>
            </w:r>
            <w:r w:rsidR="00E26A6F" w:rsidRPr="00C32EFC">
              <w:rPr>
                <w:rFonts w:cs="Arial"/>
              </w:rPr>
              <w:t>curriculum</w:t>
            </w:r>
            <w:r w:rsidR="009573D7">
              <w:rPr>
                <w:rFonts w:cs="Arial"/>
              </w:rPr>
              <w:t>.</w:t>
            </w:r>
            <w:r w:rsidR="00E26A6F" w:rsidRPr="00C32EFC">
              <w:rPr>
                <w:rFonts w:cs="Arial"/>
              </w:rPr>
              <w:t xml:space="preserve"> Our pupil premium strategy is focused on ensuring that disadvan</w:t>
            </w:r>
            <w:r w:rsidR="009573D7">
              <w:rPr>
                <w:rFonts w:cs="Arial"/>
              </w:rPr>
              <w:t>taged children</w:t>
            </w:r>
            <w:r w:rsidR="00E26A6F" w:rsidRPr="00C32EFC">
              <w:rPr>
                <w:rFonts w:cs="Arial"/>
              </w:rPr>
              <w:t xml:space="preserve"> leave school with the same knowledge, skills and qualifications as their peers. The strategy therefore centres on high quality teaching, with the provision of targeted academic support and wider strategies</w:t>
            </w:r>
            <w:r w:rsidR="00115C5E">
              <w:rPr>
                <w:rFonts w:cs="Arial"/>
              </w:rPr>
              <w:t xml:space="preserve"> to improve parental engagement</w:t>
            </w:r>
            <w:r w:rsidR="00CC278E">
              <w:rPr>
                <w:rFonts w:cs="Arial"/>
              </w:rPr>
              <w:t>.</w:t>
            </w:r>
          </w:p>
          <w:p w:rsidR="00CC278E" w:rsidRPr="00CC278E" w:rsidRDefault="00CC278E" w:rsidP="00CC278E">
            <w:pPr>
              <w:shd w:val="clear" w:color="auto" w:fill="FFFFFF"/>
              <w:suppressAutoHyphens w:val="0"/>
              <w:autoSpaceDN/>
              <w:spacing w:after="0" w:line="300" w:lineRule="atLeast"/>
              <w:rPr>
                <w:rFonts w:cs="Arial"/>
              </w:rPr>
            </w:pPr>
          </w:p>
        </w:tc>
      </w:tr>
    </w:tbl>
    <w:p w:rsidR="009573D7" w:rsidRDefault="009573D7" w:rsidP="009573D7">
      <w:pPr>
        <w:pStyle w:val="Heading2"/>
        <w:spacing w:before="0" w:after="0"/>
        <w:rPr>
          <w:color w:val="auto"/>
        </w:rPr>
      </w:pPr>
    </w:p>
    <w:p w:rsidR="009C493F" w:rsidRDefault="009C493F" w:rsidP="009573D7">
      <w:pPr>
        <w:pStyle w:val="Heading2"/>
        <w:spacing w:before="0" w:after="0"/>
        <w:rPr>
          <w:color w:val="auto"/>
        </w:rPr>
      </w:pPr>
    </w:p>
    <w:p w:rsidR="00E66558" w:rsidRPr="00A02146" w:rsidRDefault="009D71E8" w:rsidP="009573D7">
      <w:pPr>
        <w:pStyle w:val="Heading2"/>
        <w:spacing w:before="0" w:after="0"/>
        <w:rPr>
          <w:color w:val="auto"/>
        </w:rPr>
      </w:pPr>
      <w:r w:rsidRPr="00A02146">
        <w:rPr>
          <w:color w:val="auto"/>
        </w:rPr>
        <w:t>Challenges</w:t>
      </w:r>
    </w:p>
    <w:p w:rsidR="00064673"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r w:rsidR="00064673">
        <w:rPr>
          <w:color w:val="auto"/>
        </w:rPr>
        <w:t xml:space="preserve">  </w:t>
      </w:r>
    </w:p>
    <w:tbl>
      <w:tblPr>
        <w:tblW w:w="5000" w:type="pct"/>
        <w:tblLayout w:type="fixed"/>
        <w:tblCellMar>
          <w:left w:w="10" w:type="dxa"/>
          <w:right w:w="10" w:type="dxa"/>
        </w:tblCellMar>
        <w:tblLook w:val="04A0" w:firstRow="1" w:lastRow="0" w:firstColumn="1" w:lastColumn="0" w:noHBand="0" w:noVBand="1"/>
      </w:tblPr>
      <w:tblGrid>
        <w:gridCol w:w="1526"/>
        <w:gridCol w:w="13260"/>
      </w:tblGrid>
      <w:tr w:rsidR="00064673" w:rsidTr="00064673">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66558" w:rsidRDefault="009D71E8" w:rsidP="009573D7">
            <w:pPr>
              <w:pStyle w:val="TableHeader"/>
              <w:jc w:val="left"/>
            </w:pPr>
            <w:r>
              <w:t>Challenge number</w:t>
            </w:r>
          </w:p>
        </w:tc>
        <w:tc>
          <w:tcPr>
            <w:tcW w:w="1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66558" w:rsidRDefault="009D71E8" w:rsidP="009573D7">
            <w:pPr>
              <w:pStyle w:val="TableHeader"/>
              <w:jc w:val="left"/>
            </w:pPr>
            <w:r>
              <w:t>Detail of challenge</w:t>
            </w:r>
          </w:p>
        </w:tc>
      </w:tr>
      <w:tr w:rsidR="00E66558" w:rsidTr="00064673">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1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64673" w:rsidP="009573D7">
            <w:pPr>
              <w:pStyle w:val="TableRowCentered"/>
              <w:ind w:left="0"/>
              <w:jc w:val="left"/>
            </w:pPr>
            <w:r>
              <w:t>Low attainment and slow progress rates made by pupil premium/disadvantaged children in all Key Stages.</w:t>
            </w:r>
          </w:p>
        </w:tc>
      </w:tr>
      <w:tr w:rsidR="007C47DF" w:rsidTr="00064673">
        <w:trPr>
          <w:trHeight w:val="57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DF" w:rsidRDefault="009573D7">
            <w:pPr>
              <w:pStyle w:val="TableRow"/>
              <w:rPr>
                <w:sz w:val="22"/>
                <w:szCs w:val="22"/>
              </w:rPr>
            </w:pPr>
            <w:r>
              <w:rPr>
                <w:sz w:val="22"/>
                <w:szCs w:val="22"/>
              </w:rPr>
              <w:t>2</w:t>
            </w:r>
          </w:p>
        </w:tc>
        <w:tc>
          <w:tcPr>
            <w:tcW w:w="1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DF" w:rsidRDefault="00064673" w:rsidP="00064673">
            <w:pPr>
              <w:spacing w:before="120" w:line="240" w:lineRule="auto"/>
              <w:textAlignment w:val="baseline"/>
              <w:outlineLvl w:val="0"/>
            </w:pPr>
            <w:r>
              <w:t xml:space="preserve">The children have gaps and misconceptions and find it difficult to retain/recall prior knowledge. </w:t>
            </w:r>
          </w:p>
        </w:tc>
      </w:tr>
      <w:tr w:rsidR="00064673" w:rsidTr="00064673">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673" w:rsidRDefault="00064673">
            <w:pPr>
              <w:pStyle w:val="TableRow"/>
              <w:rPr>
                <w:sz w:val="22"/>
                <w:szCs w:val="22"/>
              </w:rPr>
            </w:pPr>
            <w:r>
              <w:rPr>
                <w:sz w:val="22"/>
                <w:szCs w:val="22"/>
              </w:rPr>
              <w:t>3</w:t>
            </w:r>
          </w:p>
        </w:tc>
        <w:tc>
          <w:tcPr>
            <w:tcW w:w="1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673" w:rsidRDefault="00064673" w:rsidP="009573D7">
            <w:pPr>
              <w:pStyle w:val="TableRowCentered"/>
              <w:ind w:left="0"/>
              <w:jc w:val="left"/>
            </w:pPr>
            <w:r>
              <w:t>Pupils have limited experiences beyond their home life and immediate community.</w:t>
            </w:r>
          </w:p>
        </w:tc>
      </w:tr>
      <w:tr w:rsidR="007C47DF" w:rsidTr="00064673">
        <w:trPr>
          <w:trHeight w:val="64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DF" w:rsidRDefault="00064673">
            <w:pPr>
              <w:pStyle w:val="TableRow"/>
              <w:rPr>
                <w:sz w:val="22"/>
                <w:szCs w:val="22"/>
              </w:rPr>
            </w:pPr>
            <w:r>
              <w:rPr>
                <w:sz w:val="22"/>
                <w:szCs w:val="22"/>
              </w:rPr>
              <w:t>4</w:t>
            </w:r>
          </w:p>
        </w:tc>
        <w:tc>
          <w:tcPr>
            <w:tcW w:w="1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47DF" w:rsidRDefault="007C47DF" w:rsidP="00064673">
            <w:pPr>
              <w:pStyle w:val="TableRowCentered"/>
              <w:ind w:left="0"/>
              <w:jc w:val="left"/>
            </w:pPr>
            <w:r>
              <w:t xml:space="preserve">Language and communication on entry to school is below age related expectation which inhibits the progress of </w:t>
            </w:r>
            <w:r w:rsidR="009573D7">
              <w:t>pupil premium</w:t>
            </w:r>
            <w:r w:rsidR="00064673">
              <w:t xml:space="preserve"> children</w:t>
            </w:r>
            <w:r w:rsidR="009573D7">
              <w:t xml:space="preserve"> </w:t>
            </w:r>
            <w:r>
              <w:t xml:space="preserve">in all areas of the curriculum. </w:t>
            </w:r>
          </w:p>
        </w:tc>
      </w:tr>
      <w:tr w:rsidR="00E66558" w:rsidTr="00064673">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64673">
            <w:pPr>
              <w:pStyle w:val="TableRow"/>
              <w:rPr>
                <w:sz w:val="22"/>
                <w:szCs w:val="22"/>
              </w:rPr>
            </w:pPr>
            <w:r>
              <w:rPr>
                <w:sz w:val="22"/>
                <w:szCs w:val="22"/>
              </w:rPr>
              <w:t>5</w:t>
            </w:r>
          </w:p>
        </w:tc>
        <w:tc>
          <w:tcPr>
            <w:tcW w:w="1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64673" w:rsidP="00AD6D18">
            <w:pPr>
              <w:pStyle w:val="TableRowCentered"/>
              <w:ind w:left="0"/>
              <w:jc w:val="left"/>
              <w:rPr>
                <w:sz w:val="22"/>
                <w:szCs w:val="22"/>
              </w:rPr>
            </w:pPr>
            <w:r>
              <w:t>Low</w:t>
            </w:r>
            <w:r w:rsidR="009573D7" w:rsidRPr="00C32EFC">
              <w:t xml:space="preserve"> attendance</w:t>
            </w:r>
            <w:r>
              <w:t xml:space="preserve"> and persistent absenteeism of</w:t>
            </w:r>
            <w:r w:rsidR="009573D7" w:rsidRPr="00C32EFC">
              <w:t xml:space="preserve"> P</w:t>
            </w:r>
            <w:r>
              <w:t>P/disadvantaged children.</w:t>
            </w:r>
            <w:r w:rsidR="009573D7">
              <w:t xml:space="preserve"> </w:t>
            </w:r>
          </w:p>
        </w:tc>
      </w:tr>
      <w:tr w:rsidR="00E66558" w:rsidTr="00064673">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64673">
            <w:pPr>
              <w:pStyle w:val="TableRow"/>
              <w:rPr>
                <w:sz w:val="22"/>
                <w:szCs w:val="22"/>
              </w:rPr>
            </w:pPr>
            <w:r>
              <w:rPr>
                <w:sz w:val="22"/>
                <w:szCs w:val="22"/>
              </w:rPr>
              <w:t>6</w:t>
            </w:r>
          </w:p>
        </w:tc>
        <w:tc>
          <w:tcPr>
            <w:tcW w:w="1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64673" w:rsidP="00AD6D18">
            <w:pPr>
              <w:pStyle w:val="TableRowCentered"/>
              <w:ind w:left="0"/>
              <w:jc w:val="left"/>
              <w:rPr>
                <w:sz w:val="22"/>
                <w:szCs w:val="22"/>
              </w:rPr>
            </w:pPr>
            <w:r>
              <w:t>Pupils and their families have social &amp; emotional difficulties, including</w:t>
            </w:r>
            <w:r w:rsidR="00AD6D18">
              <w:t xml:space="preserve"> financial,</w:t>
            </w:r>
            <w:r>
              <w:t xml:space="preserve"> medica</w:t>
            </w:r>
            <w:r w:rsidR="00AD6D18">
              <w:t xml:space="preserve">l and </w:t>
            </w:r>
            <w:r>
              <w:t>mental health issues.</w:t>
            </w:r>
          </w:p>
        </w:tc>
      </w:tr>
    </w:tbl>
    <w:p w:rsidR="009C493F" w:rsidRDefault="009C493F" w:rsidP="009573D7">
      <w:pPr>
        <w:pStyle w:val="Heading2"/>
        <w:spacing w:before="0" w:after="0"/>
        <w:rPr>
          <w:color w:val="auto"/>
        </w:rPr>
      </w:pPr>
      <w:bookmarkStart w:id="16" w:name="_Toc443397160"/>
    </w:p>
    <w:p w:rsidR="00E66558" w:rsidRPr="00A02146" w:rsidRDefault="009573D7" w:rsidP="009573D7">
      <w:pPr>
        <w:pStyle w:val="Heading2"/>
        <w:spacing w:before="0" w:after="0"/>
        <w:rPr>
          <w:color w:val="auto"/>
        </w:rPr>
      </w:pPr>
      <w:r>
        <w:rPr>
          <w:color w:val="auto"/>
        </w:rPr>
        <w:t>I</w:t>
      </w:r>
      <w:r w:rsidR="009D71E8" w:rsidRPr="00A02146">
        <w:rPr>
          <w:color w:val="auto"/>
        </w:rPr>
        <w:t xml:space="preserve">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353"/>
        <w:gridCol w:w="9433"/>
      </w:tblGrid>
      <w:tr w:rsidR="00E66558" w:rsidTr="009C493F">
        <w:tc>
          <w:tcPr>
            <w:tcW w:w="5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66558" w:rsidRDefault="009D71E8">
            <w:pPr>
              <w:pStyle w:val="TableHeader"/>
              <w:jc w:val="left"/>
            </w:pPr>
            <w:r>
              <w:t>Intended outcome</w:t>
            </w:r>
          </w:p>
        </w:tc>
        <w:tc>
          <w:tcPr>
            <w:tcW w:w="94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66558" w:rsidRDefault="009D71E8">
            <w:pPr>
              <w:pStyle w:val="TableHeader"/>
              <w:jc w:val="left"/>
            </w:pPr>
            <w:r>
              <w:t>Success criteria</w:t>
            </w:r>
          </w:p>
        </w:tc>
      </w:tr>
      <w:tr w:rsidR="00064673" w:rsidTr="009C493F">
        <w:trPr>
          <w:trHeight w:val="3334"/>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673" w:rsidRDefault="00064673" w:rsidP="009F2632">
            <w:r w:rsidRPr="001E6F93">
              <w:t xml:space="preserve">Disadvantaged pupils maintain at least the standard of attainment they achieved at the end of the previous year (Reading, Writing and </w:t>
            </w:r>
            <w:r w:rsidRPr="00C97329">
              <w:t>Maths) and previous key stage; those who have ‘fallen behind’ make accelerated progress and ‘catch up’ or exceed prior attainment standards.</w:t>
            </w:r>
          </w:p>
          <w:p w:rsidR="00064673" w:rsidRPr="001E6F93" w:rsidRDefault="00064673" w:rsidP="001751A6">
            <w:r w:rsidRPr="001E6F93">
              <w:t xml:space="preserve">To ensure fallen behind children receive targeted high quality intervention monitored by intervention leader. </w:t>
            </w:r>
          </w:p>
        </w:tc>
        <w:tc>
          <w:tcPr>
            <w:tcW w:w="9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DC" w:rsidRDefault="00064673" w:rsidP="009C493F">
            <w:pPr>
              <w:spacing w:after="0"/>
            </w:pPr>
            <w:r w:rsidRPr="001E6F93">
              <w:t>End of summer 2023 data will show that disadvantaged children exceed prior attainment standards.</w:t>
            </w:r>
          </w:p>
          <w:p w:rsidR="00EC65DC" w:rsidRDefault="00EC65DC" w:rsidP="009C493F">
            <w:pPr>
              <w:spacing w:after="0"/>
            </w:pPr>
          </w:p>
          <w:p w:rsidR="00EC65DC" w:rsidRDefault="00EC65DC" w:rsidP="009C493F">
            <w:pPr>
              <w:spacing w:after="0"/>
            </w:pPr>
            <w:r>
              <w:t>Phonics- Achieve in line with national average expected in Phonics Screening Check</w:t>
            </w:r>
          </w:p>
          <w:p w:rsidR="00EC65DC" w:rsidRDefault="00EC65DC" w:rsidP="009C493F">
            <w:pPr>
              <w:spacing w:after="0"/>
            </w:pPr>
            <w:r>
              <w:t>Reading- Achieve in line with national average progress scores in KS2 Reading</w:t>
            </w:r>
          </w:p>
          <w:p w:rsidR="00EC65DC" w:rsidRDefault="00EC65DC" w:rsidP="009C493F">
            <w:pPr>
              <w:spacing w:after="0"/>
            </w:pPr>
            <w:r>
              <w:t>Writing- Achieve in line with national average progress scores in KS2 Writing</w:t>
            </w:r>
          </w:p>
          <w:p w:rsidR="00EC65DC" w:rsidRDefault="00EC65DC" w:rsidP="009C493F">
            <w:pPr>
              <w:spacing w:after="0"/>
            </w:pPr>
            <w:r>
              <w:t>Maths- Achieve in line with national average progress scores in KS2 Maths</w:t>
            </w:r>
          </w:p>
          <w:p w:rsidR="009C493F" w:rsidRDefault="009C493F" w:rsidP="009C493F">
            <w:pPr>
              <w:spacing w:after="0"/>
            </w:pPr>
          </w:p>
          <w:p w:rsidR="00064673" w:rsidRDefault="00064673" w:rsidP="009C493F">
            <w:pPr>
              <w:spacing w:after="0"/>
            </w:pPr>
            <w:r w:rsidRPr="001E6F93">
              <w:t xml:space="preserve">Analysis of interventions will show that </w:t>
            </w:r>
            <w:r w:rsidR="003B192C" w:rsidRPr="001E6F93">
              <w:t>interventions have had a positive impact on the disadvantaged children’s learning and have</w:t>
            </w:r>
            <w:r w:rsidRPr="001E6F93">
              <w:t xml:space="preserve"> helped in accelerating their progress.</w:t>
            </w:r>
          </w:p>
        </w:tc>
      </w:tr>
      <w:tr w:rsidR="00E66558" w:rsidTr="009C493F">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92C" w:rsidRDefault="003B192C">
            <w:pPr>
              <w:pStyle w:val="TableRow"/>
            </w:pPr>
            <w:r>
              <w:t xml:space="preserve">Pupils have a breadth of experiences that enable them to contextualize their learning. </w:t>
            </w:r>
          </w:p>
          <w:p w:rsidR="003B192C" w:rsidRDefault="003B192C">
            <w:pPr>
              <w:pStyle w:val="TableRow"/>
            </w:pPr>
          </w:p>
          <w:p w:rsidR="00E66558" w:rsidRDefault="003B192C">
            <w:pPr>
              <w:pStyle w:val="TableRow"/>
              <w:rPr>
                <w:sz w:val="22"/>
                <w:szCs w:val="22"/>
              </w:rPr>
            </w:pPr>
            <w:r>
              <w:t>School will deliver an engaging, broad and varied curriculum.</w:t>
            </w:r>
          </w:p>
        </w:tc>
        <w:tc>
          <w:tcPr>
            <w:tcW w:w="9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92C" w:rsidRDefault="003B192C" w:rsidP="009C493F">
            <w:pPr>
              <w:pStyle w:val="TableRowCentered"/>
              <w:spacing w:before="0" w:after="0"/>
              <w:jc w:val="left"/>
            </w:pPr>
            <w:r>
              <w:t>Changes to and further clarity of curriculum intent and implementation will provide pupils with exciting, skills based and knowledge rich learning experiences.</w:t>
            </w:r>
          </w:p>
          <w:p w:rsidR="003B192C" w:rsidRDefault="003B192C" w:rsidP="009C493F">
            <w:pPr>
              <w:pStyle w:val="TableRowCentered"/>
              <w:spacing w:before="0" w:after="0"/>
              <w:jc w:val="left"/>
            </w:pPr>
          </w:p>
          <w:p w:rsidR="003B192C" w:rsidRDefault="003B192C" w:rsidP="009C493F">
            <w:pPr>
              <w:pStyle w:val="TableRowCentered"/>
              <w:spacing w:before="0" w:after="0"/>
              <w:jc w:val="left"/>
            </w:pPr>
            <w:r>
              <w:t xml:space="preserve">Ongoing monitoring, including </w:t>
            </w:r>
            <w:r w:rsidR="00EC65DC">
              <w:t>p</w:t>
            </w:r>
            <w:r>
              <w:t>upil questionnaires</w:t>
            </w:r>
            <w:r w:rsidR="00EC65DC">
              <w:t xml:space="preserve"> (Summer 2)</w:t>
            </w:r>
            <w:r>
              <w:t xml:space="preserve"> will show that children enjoy school and are enthused to learn more. </w:t>
            </w:r>
          </w:p>
          <w:p w:rsidR="003B192C" w:rsidRDefault="003B192C" w:rsidP="009C493F">
            <w:pPr>
              <w:pStyle w:val="TableRowCentered"/>
              <w:spacing w:before="0" w:after="0"/>
              <w:jc w:val="left"/>
            </w:pPr>
          </w:p>
          <w:p w:rsidR="003B192C" w:rsidRDefault="003B192C" w:rsidP="009C493F">
            <w:pPr>
              <w:pStyle w:val="TableRowCentered"/>
              <w:spacing w:before="0" w:after="0"/>
              <w:jc w:val="left"/>
            </w:pPr>
            <w:r>
              <w:t>We will have instilled a love of learning and independence to lead learning in all children.</w:t>
            </w:r>
          </w:p>
          <w:p w:rsidR="003B192C" w:rsidRDefault="003B192C" w:rsidP="009C493F">
            <w:pPr>
              <w:pStyle w:val="TableRowCentered"/>
              <w:spacing w:before="0" w:after="0"/>
              <w:jc w:val="left"/>
            </w:pPr>
          </w:p>
          <w:p w:rsidR="003B192C" w:rsidRDefault="003B192C" w:rsidP="009C493F">
            <w:pPr>
              <w:pStyle w:val="TableRowCentered"/>
              <w:spacing w:before="0" w:after="0"/>
              <w:jc w:val="left"/>
            </w:pPr>
            <w:r>
              <w:t xml:space="preserve">Teachers and support staff will plan a wide range of enrichment visits/ events/experiences to inspire/enhance learning and make it memorable. </w:t>
            </w:r>
          </w:p>
          <w:p w:rsidR="003B192C" w:rsidRDefault="003B192C" w:rsidP="009C493F">
            <w:pPr>
              <w:pStyle w:val="TableRowCentered"/>
              <w:spacing w:before="0" w:after="0"/>
              <w:jc w:val="left"/>
            </w:pPr>
          </w:p>
          <w:p w:rsidR="003B192C" w:rsidRDefault="003B192C" w:rsidP="009C493F">
            <w:pPr>
              <w:pStyle w:val="TableRowCentered"/>
              <w:spacing w:before="0" w:after="0"/>
              <w:jc w:val="left"/>
            </w:pPr>
            <w:r>
              <w:t xml:space="preserve">Each year group will spend allocated funding on providing enrichment days </w:t>
            </w:r>
            <w:r w:rsidR="001751A6">
              <w:t>and events which excite and engage</w:t>
            </w:r>
            <w:r>
              <w:t xml:space="preserve"> children to learn across all subjects. </w:t>
            </w:r>
          </w:p>
          <w:p w:rsidR="003B192C" w:rsidRDefault="003B192C" w:rsidP="009C493F">
            <w:pPr>
              <w:pStyle w:val="TableRowCentered"/>
              <w:spacing w:before="0" w:after="0"/>
              <w:jc w:val="left"/>
            </w:pPr>
          </w:p>
          <w:p w:rsidR="00E66558" w:rsidRDefault="003B192C" w:rsidP="009C493F">
            <w:pPr>
              <w:pStyle w:val="TableRowCentered"/>
              <w:spacing w:before="0" w:after="0"/>
              <w:jc w:val="left"/>
              <w:rPr>
                <w:sz w:val="22"/>
                <w:szCs w:val="22"/>
              </w:rPr>
            </w:pPr>
            <w:r>
              <w:t>Children will be exposed to a wide range of social, cultural, enrichment and sporting experiences within (and outside) the school day.</w:t>
            </w:r>
          </w:p>
        </w:tc>
      </w:tr>
      <w:tr w:rsidR="00E66558" w:rsidTr="009C493F">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751A6" w:rsidP="001751A6">
            <w:pPr>
              <w:pStyle w:val="TableRow"/>
              <w:rPr>
                <w:sz w:val="22"/>
                <w:szCs w:val="22"/>
              </w:rPr>
            </w:pPr>
            <w:r w:rsidRPr="001751A6">
              <w:rPr>
                <w:szCs w:val="22"/>
              </w:rPr>
              <w:t xml:space="preserve">All disadvantaged/PP pupils identified </w:t>
            </w:r>
            <w:r>
              <w:rPr>
                <w:szCs w:val="22"/>
              </w:rPr>
              <w:t xml:space="preserve">on entry </w:t>
            </w:r>
            <w:r w:rsidRPr="001751A6">
              <w:rPr>
                <w:szCs w:val="22"/>
              </w:rPr>
              <w:t>with language and communication difficulties will be supported through targeted speech and language intervention</w:t>
            </w:r>
          </w:p>
        </w:tc>
        <w:tc>
          <w:tcPr>
            <w:tcW w:w="9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51A6" w:rsidRDefault="001751A6" w:rsidP="009C493F">
            <w:pPr>
              <w:pStyle w:val="TableRowCentered"/>
              <w:spacing w:before="0" w:after="0"/>
              <w:jc w:val="left"/>
              <w:rPr>
                <w:szCs w:val="22"/>
              </w:rPr>
            </w:pPr>
            <w:r>
              <w:rPr>
                <w:szCs w:val="22"/>
              </w:rPr>
              <w:t xml:space="preserve">Staff will be allocated time to undertake training and deliver </w:t>
            </w:r>
            <w:r w:rsidR="00EC65DC">
              <w:rPr>
                <w:szCs w:val="22"/>
              </w:rPr>
              <w:t>Speech and Language</w:t>
            </w:r>
            <w:r>
              <w:rPr>
                <w:szCs w:val="22"/>
              </w:rPr>
              <w:t xml:space="preserve"> intervention. </w:t>
            </w:r>
          </w:p>
          <w:p w:rsidR="001751A6" w:rsidRDefault="001751A6" w:rsidP="009C493F">
            <w:pPr>
              <w:pStyle w:val="TableRowCentered"/>
              <w:spacing w:before="0" w:after="0"/>
              <w:jc w:val="left"/>
              <w:rPr>
                <w:szCs w:val="22"/>
              </w:rPr>
            </w:pPr>
          </w:p>
          <w:p w:rsidR="00E66558" w:rsidRDefault="001751A6" w:rsidP="009C493F">
            <w:pPr>
              <w:pStyle w:val="TableRowCentered"/>
              <w:spacing w:before="0" w:after="0"/>
              <w:jc w:val="left"/>
              <w:rPr>
                <w:szCs w:val="22"/>
              </w:rPr>
            </w:pPr>
            <w:r>
              <w:rPr>
                <w:szCs w:val="22"/>
              </w:rPr>
              <w:t>All EYFS staff will be</w:t>
            </w:r>
            <w:r w:rsidRPr="001751A6">
              <w:rPr>
                <w:szCs w:val="22"/>
              </w:rPr>
              <w:t xml:space="preserve"> engage</w:t>
            </w:r>
            <w:r>
              <w:rPr>
                <w:szCs w:val="22"/>
              </w:rPr>
              <w:t>d</w:t>
            </w:r>
            <w:r w:rsidRPr="001751A6">
              <w:rPr>
                <w:szCs w:val="22"/>
              </w:rPr>
              <w:t xml:space="preserve"> with</w:t>
            </w:r>
            <w:r w:rsidR="00EC65DC">
              <w:rPr>
                <w:szCs w:val="22"/>
              </w:rPr>
              <w:t xml:space="preserve"> </w:t>
            </w:r>
            <w:r w:rsidRPr="001751A6">
              <w:rPr>
                <w:szCs w:val="22"/>
              </w:rPr>
              <w:t>Speech and Language intervention</w:t>
            </w:r>
            <w:r>
              <w:rPr>
                <w:szCs w:val="22"/>
              </w:rPr>
              <w:t xml:space="preserve"> to support children.</w:t>
            </w:r>
          </w:p>
          <w:p w:rsidR="001751A6" w:rsidRDefault="001751A6" w:rsidP="009C493F">
            <w:pPr>
              <w:pStyle w:val="TableRowCentered"/>
              <w:spacing w:before="0" w:after="0"/>
              <w:ind w:left="0"/>
              <w:jc w:val="left"/>
              <w:rPr>
                <w:szCs w:val="22"/>
              </w:rPr>
            </w:pPr>
          </w:p>
          <w:p w:rsidR="001751A6" w:rsidRDefault="001751A6" w:rsidP="009C493F">
            <w:pPr>
              <w:pStyle w:val="TableRowCentered"/>
              <w:spacing w:before="0" w:after="0"/>
              <w:jc w:val="left"/>
              <w:rPr>
                <w:szCs w:val="22"/>
              </w:rPr>
            </w:pPr>
            <w:r>
              <w:rPr>
                <w:szCs w:val="22"/>
              </w:rPr>
              <w:t>In year data from Baseline assessments will show that all PP/disadvantaged children are in line with non PP peers.</w:t>
            </w:r>
          </w:p>
          <w:p w:rsidR="001751A6" w:rsidRDefault="001751A6" w:rsidP="009C493F">
            <w:pPr>
              <w:pStyle w:val="TableRowCentered"/>
              <w:spacing w:before="0" w:after="0"/>
              <w:jc w:val="left"/>
              <w:rPr>
                <w:szCs w:val="22"/>
              </w:rPr>
            </w:pPr>
          </w:p>
          <w:p w:rsidR="001751A6" w:rsidRDefault="001751A6" w:rsidP="009C493F">
            <w:pPr>
              <w:pStyle w:val="TableRowCentered"/>
              <w:spacing w:before="0" w:after="0"/>
              <w:jc w:val="left"/>
              <w:rPr>
                <w:sz w:val="22"/>
                <w:szCs w:val="22"/>
              </w:rPr>
            </w:pPr>
            <w:r>
              <w:rPr>
                <w:szCs w:val="22"/>
              </w:rPr>
              <w:t>Parental engagement is increased to instil the important role parents and carers have in developing communication and language</w:t>
            </w:r>
          </w:p>
        </w:tc>
      </w:tr>
      <w:tr w:rsidR="009573D7" w:rsidTr="009C493F">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3D7" w:rsidRDefault="003B192C" w:rsidP="003B192C">
            <w:pPr>
              <w:pStyle w:val="TableRow"/>
              <w:rPr>
                <w:sz w:val="22"/>
                <w:szCs w:val="22"/>
              </w:rPr>
            </w:pPr>
            <w:r>
              <w:t xml:space="preserve">All disadvantaged pupils will meet national expectations for attendance/persistent absence. </w:t>
            </w:r>
          </w:p>
        </w:tc>
        <w:tc>
          <w:tcPr>
            <w:tcW w:w="9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92C" w:rsidRDefault="003B192C" w:rsidP="009C493F">
            <w:pPr>
              <w:pStyle w:val="TableRowCentered"/>
              <w:spacing w:before="0" w:after="0"/>
              <w:jc w:val="left"/>
            </w:pPr>
            <w:r>
              <w:t>Disadvantaged pupils will match</w:t>
            </w:r>
            <w:r w:rsidR="002C7178">
              <w:t xml:space="preserve"> </w:t>
            </w:r>
            <w:r>
              <w:t>national attendance averages for non-disadvantaged pupils (96+%).</w:t>
            </w:r>
          </w:p>
          <w:p w:rsidR="003B192C" w:rsidRDefault="003B192C" w:rsidP="009C493F">
            <w:pPr>
              <w:pStyle w:val="TableRowCentered"/>
              <w:spacing w:before="0" w:after="0"/>
              <w:jc w:val="left"/>
            </w:pPr>
          </w:p>
          <w:p w:rsidR="009573D7" w:rsidRDefault="003B192C" w:rsidP="009C493F">
            <w:pPr>
              <w:pStyle w:val="TableRowCentered"/>
              <w:spacing w:before="0" w:after="0"/>
              <w:jc w:val="left"/>
            </w:pPr>
            <w:r>
              <w:t>Monitoring of attendance by Head of School and Senior Learning Mentor brings about an increase in PP pupils’ attendance and a decrease in persistent absence.</w:t>
            </w:r>
          </w:p>
          <w:p w:rsidR="00D72175" w:rsidRDefault="00D72175" w:rsidP="009C493F">
            <w:pPr>
              <w:pStyle w:val="TableRowCentered"/>
              <w:spacing w:before="0" w:after="0"/>
              <w:jc w:val="left"/>
              <w:rPr>
                <w:sz w:val="22"/>
                <w:szCs w:val="22"/>
              </w:rPr>
            </w:pPr>
          </w:p>
          <w:p w:rsidR="00D72175" w:rsidRDefault="00D72175" w:rsidP="009C493F">
            <w:pPr>
              <w:pStyle w:val="TableRowCentered"/>
              <w:spacing w:before="0" w:after="0"/>
              <w:jc w:val="left"/>
              <w:rPr>
                <w:sz w:val="22"/>
                <w:szCs w:val="22"/>
              </w:rPr>
            </w:pPr>
            <w:r w:rsidRPr="00D72175">
              <w:rPr>
                <w:szCs w:val="22"/>
              </w:rPr>
              <w:t>Breakfast club provision in place for pupils to encourage attendance.</w:t>
            </w:r>
          </w:p>
        </w:tc>
      </w:tr>
      <w:tr w:rsidR="009573D7" w:rsidTr="009C493F">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3D7" w:rsidRDefault="00064673">
            <w:pPr>
              <w:pStyle w:val="TableRow"/>
              <w:rPr>
                <w:sz w:val="22"/>
                <w:szCs w:val="22"/>
              </w:rPr>
            </w:pPr>
            <w:r>
              <w:t>Pupils and families with identified social, emotional or health needs are well supported by school staff so that the needs are removed or alleviated</w:t>
            </w:r>
          </w:p>
        </w:tc>
        <w:tc>
          <w:tcPr>
            <w:tcW w:w="9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92C" w:rsidRDefault="003B192C" w:rsidP="009C493F">
            <w:pPr>
              <w:pStyle w:val="TableRowCentered"/>
              <w:spacing w:before="0" w:after="0"/>
              <w:ind w:left="0"/>
              <w:jc w:val="left"/>
            </w:pPr>
            <w:r>
              <w:t>Senior Learning Mentor</w:t>
            </w:r>
            <w:r w:rsidR="00064673">
              <w:t xml:space="preserve">/SENCo and Head </w:t>
            </w:r>
            <w:r w:rsidR="00EC65DC">
              <w:t>of School</w:t>
            </w:r>
            <w:r w:rsidR="00064673">
              <w:t xml:space="preserve"> identify and support families and children and work to alleviate barriers to learning.</w:t>
            </w:r>
          </w:p>
          <w:p w:rsidR="003B192C" w:rsidRDefault="003B192C" w:rsidP="009C493F">
            <w:pPr>
              <w:pStyle w:val="TableRowCentered"/>
              <w:spacing w:before="0" w:after="0"/>
              <w:jc w:val="left"/>
            </w:pPr>
            <w:r>
              <w:t xml:space="preserve"> </w:t>
            </w:r>
          </w:p>
          <w:p w:rsidR="003B192C" w:rsidRDefault="00064673" w:rsidP="009C493F">
            <w:pPr>
              <w:pStyle w:val="TableRowCentered"/>
              <w:spacing w:before="0" w:after="0"/>
              <w:ind w:left="0"/>
              <w:jc w:val="left"/>
            </w:pPr>
            <w:r w:rsidRPr="006340F8">
              <w:t>Identified c</w:t>
            </w:r>
            <w:r w:rsidR="006340F8" w:rsidRPr="006340F8">
              <w:t xml:space="preserve">hildren are invited to Nurture intervention </w:t>
            </w:r>
            <w:r w:rsidRPr="006340F8">
              <w:t>sessions with support staff.</w:t>
            </w:r>
          </w:p>
          <w:p w:rsidR="00AD6D18" w:rsidRDefault="00AD6D18" w:rsidP="009C493F">
            <w:pPr>
              <w:pStyle w:val="TableRowCentered"/>
              <w:spacing w:before="0" w:after="0"/>
              <w:ind w:left="0"/>
              <w:jc w:val="left"/>
            </w:pPr>
          </w:p>
          <w:p w:rsidR="00AD6D18" w:rsidRDefault="00AD6D18" w:rsidP="009C493F">
            <w:pPr>
              <w:pStyle w:val="TableRowCentered"/>
              <w:spacing w:before="0" w:after="0"/>
              <w:ind w:left="0"/>
              <w:jc w:val="left"/>
            </w:pPr>
            <w:r>
              <w:t xml:space="preserve">Counselling is provided where necessary. </w:t>
            </w:r>
          </w:p>
          <w:p w:rsidR="003B192C" w:rsidRDefault="003B192C" w:rsidP="009C493F">
            <w:pPr>
              <w:pStyle w:val="TableRowCentered"/>
              <w:spacing w:before="0" w:after="0"/>
              <w:ind w:left="0"/>
              <w:jc w:val="left"/>
            </w:pPr>
          </w:p>
          <w:p w:rsidR="003B192C" w:rsidRDefault="00064673" w:rsidP="009C493F">
            <w:pPr>
              <w:pStyle w:val="TableRowCentered"/>
              <w:spacing w:before="0" w:after="0"/>
              <w:ind w:left="0"/>
              <w:jc w:val="left"/>
            </w:pPr>
            <w:r>
              <w:t xml:space="preserve">Vulnerable disadvantaged children are </w:t>
            </w:r>
            <w:r w:rsidR="006340F8">
              <w:t>spotlighted and individual need</w:t>
            </w:r>
            <w:r w:rsidR="00EC65DC">
              <w:t>s</w:t>
            </w:r>
            <w:r w:rsidR="006340F8">
              <w:t xml:space="preserve"> discussed in termly meetings with SLT to identify further areas of support needed. Where necessary, individual mentors will be named to </w:t>
            </w:r>
            <w:r>
              <w:t xml:space="preserve">meet with them regularly and provide support/alleviate barriers. </w:t>
            </w:r>
          </w:p>
          <w:p w:rsidR="003B192C" w:rsidRDefault="003B192C" w:rsidP="009C493F">
            <w:pPr>
              <w:pStyle w:val="TableRowCentered"/>
              <w:spacing w:before="0" w:after="0"/>
              <w:jc w:val="left"/>
            </w:pPr>
          </w:p>
          <w:p w:rsidR="009573D7" w:rsidRDefault="00064673" w:rsidP="009C493F">
            <w:pPr>
              <w:pStyle w:val="TableRowCentered"/>
              <w:spacing w:before="0" w:after="0"/>
              <w:ind w:left="0"/>
              <w:jc w:val="left"/>
              <w:rPr>
                <w:sz w:val="22"/>
                <w:szCs w:val="22"/>
              </w:rPr>
            </w:pPr>
            <w:r>
              <w:t>Pupil and parent questionnaires will show that parents and children of disadvantaged families feel supported and additional barriers alleviated where possible.</w:t>
            </w:r>
          </w:p>
        </w:tc>
      </w:tr>
    </w:tbl>
    <w:p w:rsidR="00E66558" w:rsidRPr="00A02146" w:rsidRDefault="009D71E8">
      <w:pPr>
        <w:pStyle w:val="Heading2"/>
        <w:rPr>
          <w:color w:val="auto"/>
        </w:rPr>
      </w:pPr>
      <w:r w:rsidRPr="00A02146">
        <w:rPr>
          <w:color w:val="auto"/>
        </w:rPr>
        <w:t>Activity in this academic year</w:t>
      </w:r>
    </w:p>
    <w:p w:rsidR="00E66558" w:rsidRPr="00A02146" w:rsidRDefault="009D71E8">
      <w:pPr>
        <w:spacing w:after="480"/>
        <w:rPr>
          <w:color w:val="auto"/>
        </w:rPr>
      </w:pPr>
      <w:r w:rsidRPr="00A02146">
        <w:rPr>
          <w:color w:val="auto"/>
        </w:rPr>
        <w:t xml:space="preserve">This details how we intend to spend our pupil premium (and recovery premium funding) </w:t>
      </w:r>
      <w:r w:rsidRPr="00A02146">
        <w:rPr>
          <w:b/>
          <w:bCs/>
          <w:color w:val="auto"/>
        </w:rPr>
        <w:t>this academic year</w:t>
      </w:r>
      <w:r w:rsidRPr="00A02146">
        <w:rPr>
          <w:color w:val="auto"/>
        </w:rPr>
        <w:t xml:space="preserve"> to address the challenges listed above.</w:t>
      </w:r>
    </w:p>
    <w:p w:rsidR="00E66558" w:rsidRPr="00A02146" w:rsidRDefault="009D71E8">
      <w:pPr>
        <w:pStyle w:val="Heading3"/>
        <w:rPr>
          <w:color w:val="auto"/>
        </w:rPr>
      </w:pPr>
      <w:r w:rsidRPr="00A02146">
        <w:rPr>
          <w:color w:val="auto"/>
        </w:rPr>
        <w:t>Teaching (for example, CPD, recruitment and retention)</w:t>
      </w:r>
    </w:p>
    <w:p w:rsidR="00E66558" w:rsidRDefault="009D71E8">
      <w:r>
        <w:t xml:space="preserve">Budgeted cost: £ </w:t>
      </w:r>
      <w:r w:rsidR="009C493F">
        <w:rPr>
          <w:i/>
          <w:iCs/>
        </w:rPr>
        <w:t>161,867</w:t>
      </w:r>
    </w:p>
    <w:tbl>
      <w:tblPr>
        <w:tblW w:w="5000" w:type="pct"/>
        <w:tblCellMar>
          <w:left w:w="10" w:type="dxa"/>
          <w:right w:w="10" w:type="dxa"/>
        </w:tblCellMar>
        <w:tblLook w:val="04A0" w:firstRow="1" w:lastRow="0" w:firstColumn="1" w:lastColumn="0" w:noHBand="0" w:noVBand="1"/>
      </w:tblPr>
      <w:tblGrid>
        <w:gridCol w:w="3777"/>
        <w:gridCol w:w="7434"/>
        <w:gridCol w:w="3575"/>
      </w:tblGrid>
      <w:tr w:rsidR="00E66558" w:rsidTr="005140D1">
        <w:tc>
          <w:tcPr>
            <w:tcW w:w="3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66558" w:rsidRDefault="009D71E8">
            <w:pPr>
              <w:pStyle w:val="TableHeader"/>
              <w:jc w:val="left"/>
            </w:pPr>
            <w:r>
              <w:t>Activity</w:t>
            </w:r>
          </w:p>
        </w:tc>
        <w:tc>
          <w:tcPr>
            <w:tcW w:w="74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66558" w:rsidRDefault="009D71E8">
            <w:pPr>
              <w:pStyle w:val="TableHeader"/>
              <w:jc w:val="left"/>
            </w:pPr>
            <w:r>
              <w:t>Evidence that supports this approach</w:t>
            </w:r>
          </w:p>
        </w:tc>
        <w:tc>
          <w:tcPr>
            <w:tcW w:w="35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66558" w:rsidRDefault="009D71E8">
            <w:pPr>
              <w:pStyle w:val="TableHeader"/>
              <w:jc w:val="left"/>
            </w:pPr>
            <w:r>
              <w:t>Challenge number(s) addressed</w:t>
            </w:r>
          </w:p>
        </w:tc>
      </w:tr>
      <w:tr w:rsidR="005140D1" w:rsidTr="00F02608">
        <w:trPr>
          <w:trHeight w:val="1346"/>
        </w:trPr>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D1" w:rsidRPr="004E731C" w:rsidRDefault="005140D1" w:rsidP="005140D1">
            <w:pPr>
              <w:suppressAutoHyphens w:val="0"/>
              <w:autoSpaceDE w:val="0"/>
              <w:adjustRightInd w:val="0"/>
              <w:spacing w:after="0" w:line="240" w:lineRule="auto"/>
              <w:rPr>
                <w:rFonts w:cs="Arial"/>
                <w:i/>
                <w:sz w:val="22"/>
              </w:rPr>
            </w:pPr>
            <w:r w:rsidRPr="004E731C">
              <w:rPr>
                <w:rFonts w:cs="Arial"/>
                <w:i/>
                <w:sz w:val="22"/>
              </w:rPr>
              <w:t>Quality CPD for staff- Quality first</w:t>
            </w:r>
          </w:p>
          <w:p w:rsidR="005140D1" w:rsidRDefault="005140D1" w:rsidP="005140D1">
            <w:pPr>
              <w:pStyle w:val="TableRow"/>
            </w:pPr>
            <w:r w:rsidRPr="004E731C">
              <w:rPr>
                <w:rFonts w:cs="Arial"/>
                <w:i/>
                <w:sz w:val="22"/>
              </w:rPr>
              <w:t>teaching/marking strategy</w:t>
            </w:r>
          </w:p>
        </w:tc>
        <w:tc>
          <w:tcPr>
            <w:tcW w:w="7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2608" w:rsidRDefault="005140D1" w:rsidP="005140D1">
            <w:pPr>
              <w:suppressAutoHyphens w:val="0"/>
              <w:autoSpaceDE w:val="0"/>
              <w:adjustRightInd w:val="0"/>
              <w:spacing w:after="0" w:line="240" w:lineRule="auto"/>
              <w:rPr>
                <w:rFonts w:ascii="ArialMT" w:hAnsi="ArialMT" w:cs="ArialMT"/>
                <w:sz w:val="22"/>
                <w:szCs w:val="22"/>
              </w:rPr>
            </w:pPr>
            <w:r>
              <w:rPr>
                <w:rFonts w:ascii="ArialMT" w:hAnsi="ArialMT" w:cs="ArialMT"/>
                <w:sz w:val="22"/>
                <w:szCs w:val="22"/>
              </w:rPr>
              <w:t>EEF- Metacognition and Self-regulation- high impact</w:t>
            </w:r>
            <w:r w:rsidR="00F02608">
              <w:rPr>
                <w:rFonts w:ascii="ArialMT" w:hAnsi="ArialMT" w:cs="ArialMT"/>
                <w:sz w:val="22"/>
                <w:szCs w:val="22"/>
              </w:rPr>
              <w:t xml:space="preserve"> </w:t>
            </w:r>
            <w:hyperlink r:id="rId10" w:history="1">
              <w:r w:rsidR="00F02608" w:rsidRPr="00327F05">
                <w:rPr>
                  <w:rStyle w:val="Hyperlink"/>
                  <w:rFonts w:ascii="ArialMT" w:hAnsi="ArialMT" w:cs="ArialMT"/>
                  <w:sz w:val="22"/>
                  <w:szCs w:val="22"/>
                </w:rPr>
                <w:t>https://educationendowmentfoundation.org.uk/education-evidence/teaching-learning-toolkit/metacognition-and-self-regulation</w:t>
              </w:r>
            </w:hyperlink>
            <w:r w:rsidR="00F02608">
              <w:rPr>
                <w:rFonts w:ascii="ArialMT" w:hAnsi="ArialMT" w:cs="ArialMT"/>
                <w:sz w:val="22"/>
                <w:szCs w:val="22"/>
              </w:rPr>
              <w:t xml:space="preserve"> </w:t>
            </w:r>
          </w:p>
          <w:p w:rsidR="005140D1" w:rsidRDefault="00F02608" w:rsidP="00F02608">
            <w:pPr>
              <w:suppressAutoHyphens w:val="0"/>
              <w:autoSpaceDE w:val="0"/>
              <w:adjustRightInd w:val="0"/>
              <w:spacing w:after="0" w:line="240" w:lineRule="auto"/>
              <w:rPr>
                <w:rFonts w:ascii="ArialMT" w:hAnsi="ArialMT" w:cs="ArialMT"/>
                <w:sz w:val="22"/>
                <w:szCs w:val="22"/>
              </w:rPr>
            </w:pPr>
            <w:r w:rsidRPr="00F02608">
              <w:rPr>
                <w:rFonts w:ascii="ArialMT" w:hAnsi="ArialMT" w:cs="ArialMT"/>
                <w:sz w:val="22"/>
                <w:szCs w:val="22"/>
              </w:rPr>
              <w:t>EEF- T&amp;L Toolkit Feedback</w:t>
            </w:r>
            <w:r w:rsidR="00A06DDF">
              <w:rPr>
                <w:rFonts w:ascii="ArialMT" w:hAnsi="ArialMT" w:cs="ArialMT"/>
                <w:sz w:val="22"/>
                <w:szCs w:val="22"/>
              </w:rPr>
              <w:t xml:space="preserve">-high impact </w:t>
            </w:r>
            <w:hyperlink r:id="rId11" w:history="1">
              <w:r w:rsidR="00A06DDF" w:rsidRPr="00327F05">
                <w:rPr>
                  <w:rStyle w:val="Hyperlink"/>
                  <w:rFonts w:ascii="ArialMT" w:hAnsi="ArialMT" w:cs="ArialMT"/>
                  <w:sz w:val="22"/>
                  <w:szCs w:val="22"/>
                </w:rPr>
                <w:t>https://educationendowmentfoundation.org.uk/education-evidence/teaching-learning-toolkit/feedback</w:t>
              </w:r>
            </w:hyperlink>
          </w:p>
          <w:p w:rsidR="00A06DDF" w:rsidRPr="00F02608" w:rsidRDefault="00A06DDF" w:rsidP="00F02608">
            <w:pPr>
              <w:suppressAutoHyphens w:val="0"/>
              <w:autoSpaceDE w:val="0"/>
              <w:adjustRightInd w:val="0"/>
              <w:spacing w:after="0" w:line="240" w:lineRule="auto"/>
              <w:rPr>
                <w:rFonts w:ascii="ArialMT" w:hAnsi="ArialMT" w:cs="ArialMT"/>
                <w:sz w:val="22"/>
                <w:szCs w:val="22"/>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D1" w:rsidRDefault="005140D1" w:rsidP="005140D1">
            <w:pPr>
              <w:pStyle w:val="TableRowCentered"/>
              <w:jc w:val="left"/>
              <w:rPr>
                <w:sz w:val="22"/>
              </w:rPr>
            </w:pPr>
            <w:r>
              <w:rPr>
                <w:sz w:val="22"/>
              </w:rPr>
              <w:t>1</w:t>
            </w:r>
            <w:r w:rsidR="00F02608">
              <w:rPr>
                <w:sz w:val="22"/>
              </w:rPr>
              <w:t xml:space="preserve"> and 2</w:t>
            </w:r>
          </w:p>
        </w:tc>
      </w:tr>
      <w:tr w:rsidR="005140D1" w:rsidTr="005140D1">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D1" w:rsidRDefault="005140D1" w:rsidP="005140D1">
            <w:pPr>
              <w:pStyle w:val="TableRow"/>
              <w:rPr>
                <w:i/>
                <w:sz w:val="22"/>
              </w:rPr>
            </w:pPr>
            <w:r>
              <w:rPr>
                <w:i/>
                <w:sz w:val="22"/>
              </w:rPr>
              <w:t xml:space="preserve">Recruitment and retention of </w:t>
            </w:r>
          </w:p>
          <w:p w:rsidR="005140D1" w:rsidRDefault="005140D1" w:rsidP="005140D1">
            <w:pPr>
              <w:pStyle w:val="TableRow"/>
              <w:numPr>
                <w:ilvl w:val="0"/>
                <w:numId w:val="17"/>
              </w:numPr>
              <w:rPr>
                <w:i/>
                <w:sz w:val="22"/>
              </w:rPr>
            </w:pPr>
            <w:r>
              <w:rPr>
                <w:i/>
                <w:sz w:val="22"/>
              </w:rPr>
              <w:t>Senior learning mentor</w:t>
            </w:r>
          </w:p>
          <w:p w:rsidR="005140D1" w:rsidRDefault="005140D1" w:rsidP="005140D1">
            <w:pPr>
              <w:pStyle w:val="TableRow"/>
              <w:numPr>
                <w:ilvl w:val="0"/>
                <w:numId w:val="17"/>
              </w:numPr>
              <w:rPr>
                <w:i/>
                <w:sz w:val="22"/>
              </w:rPr>
            </w:pPr>
            <w:r>
              <w:rPr>
                <w:i/>
                <w:sz w:val="22"/>
              </w:rPr>
              <w:t>support staff to support learning in class</w:t>
            </w:r>
            <w:r w:rsidR="00F02608">
              <w:rPr>
                <w:i/>
                <w:sz w:val="22"/>
              </w:rPr>
              <w:t xml:space="preserve"> and small group</w:t>
            </w:r>
            <w:r>
              <w:rPr>
                <w:i/>
                <w:sz w:val="22"/>
              </w:rPr>
              <w:t xml:space="preserve"> intervention </w:t>
            </w:r>
          </w:p>
          <w:p w:rsidR="00F02608" w:rsidRPr="00763777" w:rsidRDefault="005140D1" w:rsidP="00763777">
            <w:pPr>
              <w:pStyle w:val="TableRow"/>
              <w:numPr>
                <w:ilvl w:val="0"/>
                <w:numId w:val="17"/>
              </w:numPr>
              <w:rPr>
                <w:i/>
                <w:sz w:val="22"/>
              </w:rPr>
            </w:pPr>
            <w:r>
              <w:rPr>
                <w:i/>
                <w:sz w:val="22"/>
              </w:rPr>
              <w:t>Specialist Music Teacher</w:t>
            </w:r>
          </w:p>
        </w:tc>
        <w:tc>
          <w:tcPr>
            <w:tcW w:w="7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D1" w:rsidRDefault="009205FB" w:rsidP="004E731C">
            <w:pPr>
              <w:pStyle w:val="TableRowCentered"/>
              <w:ind w:left="0"/>
              <w:jc w:val="left"/>
              <w:rPr>
                <w:rFonts w:ascii="ArialMT" w:hAnsi="ArialMT" w:cs="ArialMT"/>
                <w:sz w:val="22"/>
                <w:szCs w:val="22"/>
              </w:rPr>
            </w:pPr>
            <w:hyperlink r:id="rId12" w:history="1">
              <w:r w:rsidR="004E731C" w:rsidRPr="00327F05">
                <w:rPr>
                  <w:rStyle w:val="Hyperlink"/>
                  <w:rFonts w:ascii="ArialMT" w:hAnsi="ArialMT" w:cs="ArialMT"/>
                  <w:sz w:val="22"/>
                  <w:szCs w:val="22"/>
                </w:rPr>
                <w:t>www.gov.uk/government/publications/pupil-premium/pupil-premium</w:t>
              </w:r>
            </w:hyperlink>
          </w:p>
          <w:p w:rsidR="00F02608" w:rsidRDefault="00F02608" w:rsidP="00F02608">
            <w:pPr>
              <w:suppressAutoHyphens w:val="0"/>
              <w:autoSpaceDE w:val="0"/>
              <w:adjustRightInd w:val="0"/>
              <w:spacing w:after="0" w:line="240" w:lineRule="auto"/>
              <w:rPr>
                <w:rFonts w:ascii="ArialMT" w:hAnsi="ArialMT" w:cs="ArialMT"/>
                <w:sz w:val="22"/>
                <w:szCs w:val="22"/>
              </w:rPr>
            </w:pPr>
            <w:r>
              <w:rPr>
                <w:rFonts w:ascii="ArialMT" w:hAnsi="ArialMT" w:cs="ArialMT"/>
                <w:sz w:val="22"/>
                <w:szCs w:val="22"/>
              </w:rPr>
              <w:t xml:space="preserve">EEF- </w:t>
            </w:r>
            <w:r w:rsidR="00763777">
              <w:rPr>
                <w:rFonts w:ascii="ArialMT" w:hAnsi="ArialMT" w:cs="ArialMT"/>
                <w:sz w:val="22"/>
                <w:szCs w:val="22"/>
              </w:rPr>
              <w:t>Mentoring</w:t>
            </w:r>
            <w:r>
              <w:rPr>
                <w:rFonts w:ascii="ArialMT" w:hAnsi="ArialMT" w:cs="ArialMT"/>
                <w:sz w:val="22"/>
                <w:szCs w:val="22"/>
              </w:rPr>
              <w:t xml:space="preserve">- </w:t>
            </w:r>
            <w:r w:rsidR="00763777">
              <w:rPr>
                <w:rFonts w:ascii="ArialMT" w:hAnsi="ArialMT" w:cs="ArialMT"/>
                <w:sz w:val="22"/>
                <w:szCs w:val="22"/>
              </w:rPr>
              <w:t>low</w:t>
            </w:r>
            <w:r>
              <w:rPr>
                <w:rFonts w:ascii="ArialMT" w:hAnsi="ArialMT" w:cs="ArialMT"/>
                <w:sz w:val="22"/>
                <w:szCs w:val="22"/>
              </w:rPr>
              <w:t xml:space="preserve"> impact </w:t>
            </w:r>
            <w:r w:rsidR="00763777">
              <w:rPr>
                <w:rFonts w:ascii="ArialMT" w:hAnsi="ArialMT" w:cs="ArialMT"/>
                <w:sz w:val="22"/>
                <w:szCs w:val="22"/>
              </w:rPr>
              <w:t xml:space="preserve">but suitable for school context </w:t>
            </w:r>
            <w:hyperlink r:id="rId13" w:history="1">
              <w:r w:rsidR="00763777" w:rsidRPr="00327F05">
                <w:rPr>
                  <w:rStyle w:val="Hyperlink"/>
                  <w:rFonts w:ascii="ArialMT" w:hAnsi="ArialMT" w:cs="ArialMT"/>
                  <w:sz w:val="22"/>
                  <w:szCs w:val="22"/>
                </w:rPr>
                <w:t>https://educationendowmentfoundation.org.uk/education-evidence/teaching-learning-toolkit/mentoring</w:t>
              </w:r>
            </w:hyperlink>
            <w:r w:rsidR="00763777">
              <w:rPr>
                <w:rFonts w:ascii="ArialMT" w:hAnsi="ArialMT" w:cs="ArialMT"/>
                <w:sz w:val="22"/>
                <w:szCs w:val="22"/>
              </w:rPr>
              <w:t xml:space="preserve"> </w:t>
            </w:r>
            <w:r>
              <w:rPr>
                <w:rFonts w:ascii="ArialMT" w:hAnsi="ArialMT" w:cs="ArialMT"/>
                <w:sz w:val="22"/>
                <w:szCs w:val="22"/>
              </w:rPr>
              <w:t xml:space="preserve"> </w:t>
            </w:r>
          </w:p>
          <w:p w:rsidR="004E731C" w:rsidRPr="00F02608" w:rsidRDefault="004E731C" w:rsidP="00F02608">
            <w:pPr>
              <w:suppressAutoHyphens w:val="0"/>
              <w:autoSpaceDE w:val="0"/>
              <w:adjustRightInd w:val="0"/>
              <w:spacing w:after="0" w:line="240" w:lineRule="auto"/>
              <w:rPr>
                <w:rFonts w:ascii="ArialMT" w:hAnsi="ArialMT" w:cs="ArialMT"/>
                <w:sz w:val="22"/>
                <w:szCs w:val="22"/>
              </w:rPr>
            </w:pPr>
            <w:r>
              <w:rPr>
                <w:rFonts w:ascii="ArialMT" w:hAnsi="ArialMT" w:cs="ArialMT"/>
                <w:sz w:val="22"/>
                <w:szCs w:val="22"/>
              </w:rPr>
              <w:t xml:space="preserve">EEF- Teaching assistant interventions, Moderate Impact </w:t>
            </w:r>
            <w:hyperlink r:id="rId14" w:history="1">
              <w:r w:rsidRPr="00327F05">
                <w:rPr>
                  <w:rStyle w:val="Hyperlink"/>
                  <w:rFonts w:ascii="ArialMT" w:hAnsi="ArialMT" w:cs="ArialMT"/>
                  <w:sz w:val="22"/>
                  <w:szCs w:val="22"/>
                </w:rPr>
                <w:t>https://educationendowmentfoundation.org.uk/education-evidence/teaching-learning-toolkit/teaching-assistant-interventions</w:t>
              </w:r>
            </w:hyperlink>
            <w:r>
              <w:rPr>
                <w:rFonts w:ascii="ArialMT" w:hAnsi="ArialMT" w:cs="ArialMT"/>
                <w:sz w:val="22"/>
                <w:szCs w:val="22"/>
              </w:rPr>
              <w:t xml:space="preserve"> </w:t>
            </w:r>
          </w:p>
          <w:p w:rsidR="00F02608" w:rsidRPr="00F02608" w:rsidRDefault="00F02608" w:rsidP="00F02608">
            <w:pPr>
              <w:pStyle w:val="TableRowCentered"/>
              <w:ind w:left="0"/>
              <w:jc w:val="left"/>
              <w:rPr>
                <w:sz w:val="22"/>
                <w:lang w:val="fr-FR"/>
              </w:rPr>
            </w:pPr>
            <w:r w:rsidRPr="00F02608">
              <w:rPr>
                <w:sz w:val="22"/>
                <w:lang w:val="fr-FR"/>
              </w:rPr>
              <w:t>EEF- Arts Participation</w:t>
            </w:r>
            <w:r>
              <w:rPr>
                <w:sz w:val="22"/>
                <w:lang w:val="fr-FR"/>
              </w:rPr>
              <w:t>-</w:t>
            </w:r>
            <w:r w:rsidRPr="00F02608">
              <w:rPr>
                <w:sz w:val="22"/>
                <w:lang w:val="fr-FR"/>
              </w:rPr>
              <w:t xml:space="preserve"> </w:t>
            </w:r>
            <w:hyperlink r:id="rId15" w:history="1">
              <w:r w:rsidRPr="00327F05">
                <w:rPr>
                  <w:rStyle w:val="Hyperlink"/>
                  <w:sz w:val="22"/>
                  <w:lang w:val="fr-FR"/>
                </w:rPr>
                <w:t>https://educationendowmentfoundation.org.uk/education-evidence/teaching-learning-toolkit/arts-participation</w:t>
              </w:r>
            </w:hyperlink>
            <w:r>
              <w:rPr>
                <w:sz w:val="22"/>
                <w:lang w:val="fr-FR"/>
              </w:rPr>
              <w:t xml:space="preserve"> </w:t>
            </w: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D1" w:rsidRDefault="00F02608" w:rsidP="005140D1">
            <w:pPr>
              <w:pStyle w:val="TableRowCentered"/>
              <w:jc w:val="left"/>
              <w:rPr>
                <w:sz w:val="22"/>
              </w:rPr>
            </w:pPr>
            <w:r>
              <w:rPr>
                <w:sz w:val="22"/>
              </w:rPr>
              <w:t xml:space="preserve">1, 2, </w:t>
            </w:r>
            <w:r w:rsidR="005140D1">
              <w:rPr>
                <w:sz w:val="22"/>
              </w:rPr>
              <w:t>3</w:t>
            </w:r>
            <w:r>
              <w:rPr>
                <w:sz w:val="22"/>
              </w:rPr>
              <w:t>, 4 and 5</w:t>
            </w:r>
          </w:p>
        </w:tc>
      </w:tr>
      <w:tr w:rsidR="005140D1" w:rsidTr="005140D1">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D1" w:rsidRDefault="005140D1" w:rsidP="005140D1">
            <w:pPr>
              <w:pStyle w:val="TableRow"/>
              <w:rPr>
                <w:i/>
                <w:sz w:val="22"/>
              </w:rPr>
            </w:pPr>
            <w:r>
              <w:rPr>
                <w:i/>
                <w:sz w:val="22"/>
              </w:rPr>
              <w:t>The Write Stuff Staff CPD and Resources</w:t>
            </w:r>
          </w:p>
        </w:tc>
        <w:tc>
          <w:tcPr>
            <w:tcW w:w="7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D1" w:rsidRDefault="009205FB" w:rsidP="005140D1">
            <w:pPr>
              <w:pStyle w:val="TableRowCentered"/>
              <w:jc w:val="left"/>
              <w:rPr>
                <w:sz w:val="22"/>
              </w:rPr>
            </w:pPr>
            <w:hyperlink r:id="rId16" w:history="1">
              <w:r w:rsidR="00F02608" w:rsidRPr="00327F05">
                <w:rPr>
                  <w:rStyle w:val="Hyperlink"/>
                  <w:sz w:val="22"/>
                </w:rPr>
                <w:t>https://educationendowmentfoundation.org.uk/education-evidence/teaching-learning-toolkit/mastery-learning</w:t>
              </w:r>
            </w:hyperlink>
            <w:r w:rsidR="00F02608">
              <w:rPr>
                <w:sz w:val="22"/>
              </w:rPr>
              <w:t xml:space="preserve"> </w:t>
            </w: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D1" w:rsidRDefault="00F02608" w:rsidP="005140D1">
            <w:pPr>
              <w:pStyle w:val="TableRowCentered"/>
              <w:jc w:val="left"/>
              <w:rPr>
                <w:sz w:val="22"/>
              </w:rPr>
            </w:pPr>
            <w:r>
              <w:rPr>
                <w:sz w:val="22"/>
              </w:rPr>
              <w:t>1, 2 and 3</w:t>
            </w:r>
          </w:p>
        </w:tc>
      </w:tr>
      <w:tr w:rsidR="005140D1" w:rsidTr="005140D1">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D1" w:rsidRDefault="005140D1" w:rsidP="005140D1">
            <w:pPr>
              <w:pStyle w:val="TableRow"/>
              <w:rPr>
                <w:i/>
                <w:sz w:val="22"/>
              </w:rPr>
            </w:pPr>
            <w:r>
              <w:rPr>
                <w:i/>
                <w:sz w:val="22"/>
              </w:rPr>
              <w:t>RWI Phonics Staff CPD and resources</w:t>
            </w:r>
          </w:p>
        </w:tc>
        <w:tc>
          <w:tcPr>
            <w:tcW w:w="7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DDF" w:rsidRPr="00A06DDF" w:rsidRDefault="00A06DDF" w:rsidP="00A06DDF">
            <w:pPr>
              <w:pStyle w:val="TableRowCentered"/>
              <w:jc w:val="left"/>
              <w:rPr>
                <w:sz w:val="22"/>
              </w:rPr>
            </w:pPr>
            <w:r w:rsidRPr="00A06DDF">
              <w:rPr>
                <w:sz w:val="22"/>
              </w:rPr>
              <w:t xml:space="preserve">EEF T&amp;L Toolkit Phonics- Very </w:t>
            </w:r>
            <w:r>
              <w:rPr>
                <w:sz w:val="22"/>
              </w:rPr>
              <w:t xml:space="preserve">high impact </w:t>
            </w:r>
            <w:hyperlink r:id="rId17" w:history="1">
              <w:r w:rsidRPr="00327F05">
                <w:rPr>
                  <w:rStyle w:val="Hyperlink"/>
                  <w:sz w:val="22"/>
                </w:rPr>
                <w:t>https://educationendowmentfoundation.org.uk/education-evidence/teaching-learning-toolkit/phonics</w:t>
              </w:r>
            </w:hyperlink>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D1" w:rsidRDefault="00F02608" w:rsidP="005140D1">
            <w:pPr>
              <w:pStyle w:val="TableRowCentered"/>
              <w:jc w:val="left"/>
              <w:rPr>
                <w:sz w:val="22"/>
              </w:rPr>
            </w:pPr>
            <w:r>
              <w:rPr>
                <w:sz w:val="22"/>
              </w:rPr>
              <w:t>1, 2, 3 and 4</w:t>
            </w:r>
          </w:p>
        </w:tc>
      </w:tr>
      <w:tr w:rsidR="00A06DDF" w:rsidTr="005140D1">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DDF" w:rsidRDefault="00A06DDF" w:rsidP="005140D1">
            <w:pPr>
              <w:pStyle w:val="TableRow"/>
              <w:rPr>
                <w:i/>
                <w:sz w:val="22"/>
              </w:rPr>
            </w:pPr>
            <w:r>
              <w:rPr>
                <w:i/>
                <w:sz w:val="22"/>
              </w:rPr>
              <w:t>Implementation of KS2 Reading scheme to develop comprehension skills. Staff CPD and additional resources. Eg- BugClub</w:t>
            </w:r>
          </w:p>
        </w:tc>
        <w:tc>
          <w:tcPr>
            <w:tcW w:w="7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DDF" w:rsidRPr="00A06DDF" w:rsidRDefault="00A06DDF" w:rsidP="00A06DDF">
            <w:pPr>
              <w:pStyle w:val="TableRowCentered"/>
              <w:jc w:val="left"/>
              <w:rPr>
                <w:sz w:val="22"/>
              </w:rPr>
            </w:pPr>
            <w:r>
              <w:rPr>
                <w:sz w:val="22"/>
              </w:rPr>
              <w:t xml:space="preserve">EEF- Reading comprehension – High impact </w:t>
            </w:r>
            <w:hyperlink r:id="rId18" w:history="1">
              <w:r w:rsidRPr="00327F05">
                <w:rPr>
                  <w:rStyle w:val="Hyperlink"/>
                  <w:sz w:val="22"/>
                </w:rPr>
                <w:t>https://educationendowmentfoundation.org.uk/education-evidence/teaching-learning-toolkit/reading-comprehension-strategies</w:t>
              </w:r>
            </w:hyperlink>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DDF" w:rsidRDefault="00A06DDF" w:rsidP="005140D1">
            <w:pPr>
              <w:pStyle w:val="TableRowCentered"/>
              <w:jc w:val="left"/>
              <w:rPr>
                <w:sz w:val="22"/>
              </w:rPr>
            </w:pPr>
            <w:r>
              <w:rPr>
                <w:sz w:val="22"/>
              </w:rPr>
              <w:t>1, 2, 3 and 4</w:t>
            </w:r>
          </w:p>
        </w:tc>
      </w:tr>
      <w:tr w:rsidR="005140D1" w:rsidTr="005140D1">
        <w:tc>
          <w:tcPr>
            <w:tcW w:w="3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D1" w:rsidRDefault="005140D1" w:rsidP="005140D1">
            <w:pPr>
              <w:pStyle w:val="TableRow"/>
              <w:rPr>
                <w:i/>
                <w:sz w:val="22"/>
              </w:rPr>
            </w:pPr>
            <w:r>
              <w:rPr>
                <w:i/>
                <w:sz w:val="22"/>
              </w:rPr>
              <w:t>White Rose Maths Staff CPD and resources</w:t>
            </w:r>
          </w:p>
        </w:tc>
        <w:tc>
          <w:tcPr>
            <w:tcW w:w="7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D1" w:rsidRDefault="005140D1" w:rsidP="005140D1">
            <w:pPr>
              <w:pStyle w:val="Default"/>
              <w:numPr>
                <w:ilvl w:val="0"/>
                <w:numId w:val="18"/>
              </w:numPr>
              <w:rPr>
                <w:sz w:val="23"/>
                <w:szCs w:val="23"/>
              </w:rPr>
            </w:pPr>
            <w:r>
              <w:rPr>
                <w:color w:val="0D0D0D"/>
                <w:sz w:val="23"/>
                <w:szCs w:val="23"/>
              </w:rPr>
              <w:t xml:space="preserve">EEF T&amp;L toolkit, teacher subject knowledge </w:t>
            </w:r>
          </w:p>
          <w:p w:rsidR="005140D1" w:rsidRPr="00F02608" w:rsidRDefault="005140D1" w:rsidP="005140D1">
            <w:pPr>
              <w:pStyle w:val="Default"/>
              <w:numPr>
                <w:ilvl w:val="0"/>
                <w:numId w:val="18"/>
              </w:numPr>
              <w:rPr>
                <w:sz w:val="23"/>
                <w:szCs w:val="23"/>
              </w:rPr>
            </w:pPr>
            <w:r w:rsidRPr="00F02608">
              <w:rPr>
                <w:color w:val="0D0D0D"/>
                <w:sz w:val="23"/>
                <w:szCs w:val="23"/>
              </w:rPr>
              <w:t xml:space="preserve">EEF T&amp;L toolkit, </w:t>
            </w:r>
            <w:r w:rsidR="00F02608" w:rsidRPr="00F02608">
              <w:rPr>
                <w:color w:val="0D0D0D"/>
                <w:sz w:val="23"/>
                <w:szCs w:val="23"/>
              </w:rPr>
              <w:t>Mas</w:t>
            </w:r>
            <w:r w:rsidR="00F02608">
              <w:rPr>
                <w:color w:val="0D0D0D"/>
                <w:sz w:val="23"/>
                <w:szCs w:val="23"/>
              </w:rPr>
              <w:t xml:space="preserve">tery Learning </w:t>
            </w:r>
            <w:hyperlink r:id="rId19" w:history="1">
              <w:r w:rsidR="00F02608" w:rsidRPr="00327F05">
                <w:rPr>
                  <w:rStyle w:val="Hyperlink"/>
                  <w:sz w:val="23"/>
                  <w:szCs w:val="23"/>
                </w:rPr>
                <w:t>https://educationendowmentfoundation.org.uk/education-evidence/teaching-learning-toolkit/mastery-learning</w:t>
              </w:r>
            </w:hyperlink>
          </w:p>
          <w:p w:rsidR="00F02608" w:rsidRPr="00F02608" w:rsidRDefault="00F02608" w:rsidP="00F02608">
            <w:pPr>
              <w:pStyle w:val="Default"/>
              <w:rPr>
                <w:sz w:val="23"/>
                <w:szCs w:val="23"/>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D1" w:rsidRDefault="00F02608" w:rsidP="005140D1">
            <w:pPr>
              <w:pStyle w:val="TableRowCentered"/>
              <w:jc w:val="left"/>
              <w:rPr>
                <w:sz w:val="22"/>
              </w:rPr>
            </w:pPr>
            <w:r>
              <w:rPr>
                <w:sz w:val="22"/>
              </w:rPr>
              <w:t>1, 2 and 3</w:t>
            </w:r>
          </w:p>
        </w:tc>
      </w:tr>
    </w:tbl>
    <w:p w:rsidR="00E66558" w:rsidRDefault="00E66558">
      <w:pPr>
        <w:keepNext/>
        <w:spacing w:after="60"/>
        <w:outlineLvl w:val="1"/>
      </w:pPr>
    </w:p>
    <w:p w:rsidR="00E66558" w:rsidRPr="00A02146" w:rsidRDefault="009D71E8">
      <w:pPr>
        <w:rPr>
          <w:b/>
          <w:bCs/>
          <w:color w:val="auto"/>
          <w:sz w:val="28"/>
          <w:szCs w:val="28"/>
        </w:rPr>
      </w:pPr>
      <w:r w:rsidRPr="00A02146">
        <w:rPr>
          <w:b/>
          <w:bCs/>
          <w:color w:val="auto"/>
          <w:sz w:val="28"/>
          <w:szCs w:val="28"/>
        </w:rPr>
        <w:t xml:space="preserve">Targeted academic support (for example, </w:t>
      </w:r>
      <w:r w:rsidR="00D33FE5" w:rsidRPr="00A02146">
        <w:rPr>
          <w:b/>
          <w:bCs/>
          <w:color w:val="auto"/>
          <w:sz w:val="28"/>
          <w:szCs w:val="28"/>
        </w:rPr>
        <w:t xml:space="preserve">tutoring, one-to-one support </w:t>
      </w:r>
      <w:r w:rsidRPr="00A02146">
        <w:rPr>
          <w:b/>
          <w:bCs/>
          <w:color w:val="auto"/>
          <w:sz w:val="28"/>
          <w:szCs w:val="28"/>
        </w:rPr>
        <w:t xml:space="preserve">structured interventions) </w:t>
      </w:r>
    </w:p>
    <w:p w:rsidR="00E66558" w:rsidRDefault="009C493F">
      <w:r>
        <w:t>Budgeted cost: £ 93,933</w:t>
      </w:r>
    </w:p>
    <w:tbl>
      <w:tblPr>
        <w:tblW w:w="5000" w:type="pct"/>
        <w:tblCellMar>
          <w:left w:w="10" w:type="dxa"/>
          <w:right w:w="10" w:type="dxa"/>
        </w:tblCellMar>
        <w:tblLook w:val="04A0" w:firstRow="1" w:lastRow="0" w:firstColumn="1" w:lastColumn="0" w:noHBand="0" w:noVBand="1"/>
      </w:tblPr>
      <w:tblGrid>
        <w:gridCol w:w="3794"/>
        <w:gridCol w:w="7371"/>
        <w:gridCol w:w="3621"/>
      </w:tblGrid>
      <w:tr w:rsidR="00E66558" w:rsidTr="009D2E60">
        <w:tc>
          <w:tcPr>
            <w:tcW w:w="37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66558" w:rsidRDefault="009D71E8">
            <w:pPr>
              <w:pStyle w:val="TableHeader"/>
              <w:jc w:val="left"/>
            </w:pPr>
            <w:r>
              <w:t>Activity</w:t>
            </w:r>
          </w:p>
        </w:tc>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66558" w:rsidRDefault="009D71E8">
            <w:pPr>
              <w:pStyle w:val="TableHeader"/>
              <w:jc w:val="left"/>
            </w:pPr>
            <w:r>
              <w:t>Evidence that supports this approach</w:t>
            </w:r>
          </w:p>
        </w:tc>
        <w:tc>
          <w:tcPr>
            <w:tcW w:w="36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66558" w:rsidRDefault="009D71E8">
            <w:pPr>
              <w:pStyle w:val="TableHeader"/>
              <w:jc w:val="left"/>
            </w:pPr>
            <w:r>
              <w:t>Challenge number(s) addressed</w:t>
            </w:r>
          </w:p>
        </w:tc>
      </w:tr>
      <w:tr w:rsidR="004E731C" w:rsidRPr="004E731C" w:rsidTr="009D2E60">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31C" w:rsidRDefault="004E731C" w:rsidP="005140D1">
            <w:pPr>
              <w:pStyle w:val="TableRow"/>
              <w:ind w:left="0"/>
              <w:rPr>
                <w:i/>
                <w:sz w:val="22"/>
              </w:rPr>
            </w:pPr>
            <w:r>
              <w:rPr>
                <w:i/>
                <w:sz w:val="22"/>
              </w:rPr>
              <w:t>KS1 and KS2 small group tuition</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7178" w:rsidRPr="002C7178" w:rsidRDefault="004E731C" w:rsidP="002C7178">
            <w:pPr>
              <w:pStyle w:val="TableRowCentered"/>
              <w:jc w:val="left"/>
              <w:rPr>
                <w:sz w:val="22"/>
                <w:lang w:val="es-ES"/>
              </w:rPr>
            </w:pPr>
            <w:r>
              <w:rPr>
                <w:sz w:val="22"/>
              </w:rPr>
              <w:t xml:space="preserve">EEF- Small Group tuition. </w:t>
            </w:r>
            <w:r w:rsidRPr="004E731C">
              <w:rPr>
                <w:sz w:val="22"/>
              </w:rPr>
              <w:t xml:space="preserve">Moderate impact </w:t>
            </w:r>
            <w:hyperlink r:id="rId20" w:history="1">
              <w:r w:rsidRPr="004E731C">
                <w:rPr>
                  <w:rStyle w:val="Hyperlink"/>
                  <w:sz w:val="22"/>
                </w:rPr>
                <w:t>https://educationendowmentfoundation.org.uk/education-evidence/teaching-learning-toolkit/small-group-tuition</w:t>
              </w:r>
            </w:hyperlink>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31C" w:rsidRPr="004E731C" w:rsidRDefault="00AD6D18" w:rsidP="008274C9">
            <w:pPr>
              <w:pStyle w:val="TableRowCentered"/>
              <w:jc w:val="left"/>
              <w:rPr>
                <w:sz w:val="22"/>
              </w:rPr>
            </w:pPr>
            <w:r>
              <w:rPr>
                <w:sz w:val="22"/>
              </w:rPr>
              <w:t>1 and 2</w:t>
            </w:r>
          </w:p>
        </w:tc>
      </w:tr>
      <w:tr w:rsidR="004E731C" w:rsidRPr="004E731C" w:rsidTr="009D2E60">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31C" w:rsidRDefault="004E731C" w:rsidP="004E731C">
            <w:pPr>
              <w:pStyle w:val="TableRow"/>
              <w:rPr>
                <w:i/>
                <w:sz w:val="22"/>
              </w:rPr>
            </w:pPr>
            <w:r>
              <w:rPr>
                <w:i/>
                <w:sz w:val="22"/>
              </w:rPr>
              <w:t>Teaching Assistant Interventions and resources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31C" w:rsidRPr="004E731C" w:rsidRDefault="004E731C" w:rsidP="004E731C">
            <w:pPr>
              <w:pStyle w:val="TableRowCentered"/>
              <w:jc w:val="left"/>
              <w:rPr>
                <w:sz w:val="22"/>
              </w:rPr>
            </w:pPr>
            <w:r w:rsidRPr="004E731C">
              <w:rPr>
                <w:sz w:val="22"/>
              </w:rPr>
              <w:t>EEF- Teaching Assistant interventions</w:t>
            </w:r>
            <w:r>
              <w:rPr>
                <w:sz w:val="22"/>
              </w:rPr>
              <w:t>, moderate impact.</w:t>
            </w:r>
          </w:p>
          <w:p w:rsidR="004E731C" w:rsidRDefault="009205FB" w:rsidP="004E731C">
            <w:pPr>
              <w:pStyle w:val="TableRowCentered"/>
              <w:jc w:val="left"/>
              <w:rPr>
                <w:sz w:val="22"/>
              </w:rPr>
            </w:pPr>
            <w:hyperlink r:id="rId21" w:history="1">
              <w:r w:rsidR="004E731C" w:rsidRPr="004E731C">
                <w:rPr>
                  <w:rStyle w:val="Hyperlink"/>
                  <w:sz w:val="22"/>
                </w:rPr>
                <w:t>https://educationendowmentfoundation.org.uk/education-evidence/teaching-learning-toolkit/teaching-assistant-interventions</w:t>
              </w:r>
            </w:hyperlink>
            <w:r w:rsidR="004E731C">
              <w:rPr>
                <w:i/>
                <w:sz w:val="22"/>
              </w:rPr>
              <w:t xml:space="preserve"> </w:t>
            </w: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31C" w:rsidRPr="004E731C" w:rsidRDefault="00AD6D18" w:rsidP="004E731C">
            <w:pPr>
              <w:pStyle w:val="TableRowCentered"/>
              <w:jc w:val="left"/>
              <w:rPr>
                <w:sz w:val="22"/>
              </w:rPr>
            </w:pPr>
            <w:r>
              <w:rPr>
                <w:sz w:val="22"/>
              </w:rPr>
              <w:t>1, 2 and 3</w:t>
            </w:r>
          </w:p>
        </w:tc>
      </w:tr>
      <w:tr w:rsidR="008274C9" w:rsidRPr="00763777" w:rsidTr="009D2E60">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3777" w:rsidRDefault="008274C9" w:rsidP="005140D1">
            <w:pPr>
              <w:pStyle w:val="TableRow"/>
              <w:ind w:left="0"/>
              <w:rPr>
                <w:i/>
                <w:sz w:val="22"/>
              </w:rPr>
            </w:pPr>
            <w:r>
              <w:rPr>
                <w:i/>
                <w:sz w:val="22"/>
              </w:rPr>
              <w:t>Lunchtime Clubs</w:t>
            </w:r>
          </w:p>
          <w:p w:rsidR="00763777" w:rsidRDefault="00763777" w:rsidP="005140D1">
            <w:pPr>
              <w:pStyle w:val="TableRow"/>
              <w:ind w:left="0"/>
              <w:rPr>
                <w:i/>
                <w:sz w:val="22"/>
              </w:rPr>
            </w:pPr>
            <w:r>
              <w:rPr>
                <w:i/>
                <w:sz w:val="22"/>
              </w:rPr>
              <w:t xml:space="preserve">Social groups </w:t>
            </w:r>
          </w:p>
          <w:p w:rsidR="00763777" w:rsidRDefault="00763777" w:rsidP="005140D1">
            <w:pPr>
              <w:pStyle w:val="TableRow"/>
              <w:ind w:left="0"/>
              <w:rPr>
                <w:i/>
                <w:sz w:val="22"/>
              </w:rPr>
            </w:pPr>
            <w:r>
              <w:rPr>
                <w:i/>
                <w:sz w:val="22"/>
              </w:rPr>
              <w:t>Arts Club</w:t>
            </w:r>
          </w:p>
          <w:p w:rsidR="00763777" w:rsidRDefault="00763777" w:rsidP="005140D1">
            <w:pPr>
              <w:pStyle w:val="TableRow"/>
              <w:ind w:left="0"/>
              <w:rPr>
                <w:i/>
                <w:sz w:val="22"/>
              </w:rPr>
            </w:pPr>
            <w:r>
              <w:rPr>
                <w:i/>
                <w:sz w:val="22"/>
              </w:rPr>
              <w:t xml:space="preserve">Music Club </w:t>
            </w:r>
          </w:p>
          <w:p w:rsidR="00763777" w:rsidRDefault="00763777" w:rsidP="005140D1">
            <w:pPr>
              <w:pStyle w:val="TableRow"/>
              <w:ind w:left="0"/>
              <w:rPr>
                <w:i/>
                <w:sz w:val="22"/>
              </w:rPr>
            </w:pPr>
            <w:r>
              <w:rPr>
                <w:i/>
                <w:sz w:val="22"/>
              </w:rPr>
              <w:t>Sports Club</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5140D1" w:rsidP="008274C9">
            <w:pPr>
              <w:pStyle w:val="TableRowCentered"/>
              <w:jc w:val="left"/>
              <w:rPr>
                <w:sz w:val="22"/>
              </w:rPr>
            </w:pPr>
            <w:r>
              <w:rPr>
                <w:sz w:val="22"/>
              </w:rPr>
              <w:t xml:space="preserve">EEF Collaborative Learning Approaches </w:t>
            </w:r>
            <w:r w:rsidR="00763777">
              <w:rPr>
                <w:sz w:val="22"/>
              </w:rPr>
              <w:t>High Impact</w:t>
            </w:r>
          </w:p>
          <w:p w:rsidR="00763777" w:rsidRDefault="009205FB" w:rsidP="008274C9">
            <w:pPr>
              <w:pStyle w:val="TableRowCentered"/>
              <w:jc w:val="left"/>
              <w:rPr>
                <w:sz w:val="22"/>
              </w:rPr>
            </w:pPr>
            <w:hyperlink r:id="rId22" w:history="1">
              <w:r w:rsidR="00763777" w:rsidRPr="00327F05">
                <w:rPr>
                  <w:rStyle w:val="Hyperlink"/>
                  <w:sz w:val="22"/>
                </w:rPr>
                <w:t>https://educationendowmentfoundation.org.uk/education-evidence/teaching-learning-toolkit/collaborative-learning-approaches</w:t>
              </w:r>
            </w:hyperlink>
          </w:p>
          <w:p w:rsidR="00763777" w:rsidRDefault="00763777" w:rsidP="008274C9">
            <w:pPr>
              <w:pStyle w:val="TableRowCentered"/>
              <w:jc w:val="left"/>
              <w:rPr>
                <w:sz w:val="22"/>
                <w:lang w:val="fr-FR"/>
              </w:rPr>
            </w:pPr>
            <w:r w:rsidRPr="00F02608">
              <w:rPr>
                <w:sz w:val="22"/>
                <w:lang w:val="fr-FR"/>
              </w:rPr>
              <w:t>EEF- Arts Participation</w:t>
            </w:r>
            <w:r>
              <w:rPr>
                <w:sz w:val="22"/>
                <w:lang w:val="fr-FR"/>
              </w:rPr>
              <w:t>-</w:t>
            </w:r>
            <w:r w:rsidRPr="00F02608">
              <w:rPr>
                <w:sz w:val="22"/>
                <w:lang w:val="fr-FR"/>
              </w:rPr>
              <w:t xml:space="preserve"> </w:t>
            </w:r>
            <w:hyperlink r:id="rId23" w:history="1">
              <w:r w:rsidRPr="00327F05">
                <w:rPr>
                  <w:rStyle w:val="Hyperlink"/>
                  <w:sz w:val="22"/>
                  <w:lang w:val="fr-FR"/>
                </w:rPr>
                <w:t>https://educationendowmentfoundation.org.uk/education-evidence/teaching-learning-toolkit/arts-participation</w:t>
              </w:r>
            </w:hyperlink>
          </w:p>
          <w:p w:rsidR="00AD6D18" w:rsidRDefault="00AD6D18" w:rsidP="00AD6D18">
            <w:pPr>
              <w:pStyle w:val="TableRowCentered"/>
              <w:jc w:val="left"/>
              <w:rPr>
                <w:sz w:val="22"/>
              </w:rPr>
            </w:pPr>
            <w:r>
              <w:rPr>
                <w:sz w:val="22"/>
              </w:rPr>
              <w:t>EEF- Physical Activity Low impact, limited evidence</w:t>
            </w:r>
          </w:p>
          <w:p w:rsidR="00AD6D18" w:rsidRPr="00AD6D18" w:rsidRDefault="009205FB" w:rsidP="00AD6D18">
            <w:pPr>
              <w:pStyle w:val="TableRowCentered"/>
              <w:jc w:val="left"/>
              <w:rPr>
                <w:sz w:val="22"/>
              </w:rPr>
            </w:pPr>
            <w:hyperlink r:id="rId24" w:history="1">
              <w:r w:rsidR="00AD6D18" w:rsidRPr="00327F05">
                <w:rPr>
                  <w:rStyle w:val="Hyperlink"/>
                  <w:sz w:val="22"/>
                </w:rPr>
                <w:t>https://educationendowmentfoundation.org.uk/education-evidence/teaching-learning-toolkit/physical-activity</w:t>
              </w:r>
            </w:hyperlink>
            <w:r w:rsidR="00AD6D18">
              <w:rPr>
                <w:sz w:val="22"/>
              </w:rPr>
              <w:t xml:space="preserve"> </w:t>
            </w: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Pr="00763777" w:rsidRDefault="00AD6D18" w:rsidP="008274C9">
            <w:pPr>
              <w:pStyle w:val="TableRowCentered"/>
              <w:jc w:val="left"/>
              <w:rPr>
                <w:sz w:val="22"/>
                <w:lang w:val="fr-FR"/>
              </w:rPr>
            </w:pPr>
            <w:r>
              <w:rPr>
                <w:sz w:val="22"/>
                <w:lang w:val="fr-FR"/>
              </w:rPr>
              <w:t>3 and 6</w:t>
            </w:r>
          </w:p>
        </w:tc>
      </w:tr>
      <w:tr w:rsidR="008274C9" w:rsidRPr="00763777" w:rsidTr="009D2E60">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8274C9" w:rsidP="008274C9">
            <w:pPr>
              <w:pStyle w:val="TableRow"/>
              <w:ind w:left="0"/>
              <w:rPr>
                <w:i/>
                <w:sz w:val="22"/>
              </w:rPr>
            </w:pPr>
            <w:r>
              <w:rPr>
                <w:i/>
                <w:sz w:val="22"/>
              </w:rPr>
              <w:t>LAMDA</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Pr="00763777" w:rsidRDefault="00763777" w:rsidP="008274C9">
            <w:pPr>
              <w:pStyle w:val="TableRowCentered"/>
              <w:jc w:val="left"/>
              <w:rPr>
                <w:sz w:val="22"/>
                <w:lang w:val="fr-FR"/>
              </w:rPr>
            </w:pPr>
            <w:r w:rsidRPr="00F02608">
              <w:rPr>
                <w:sz w:val="22"/>
                <w:lang w:val="fr-FR"/>
              </w:rPr>
              <w:t>EEF- Arts Participation</w:t>
            </w:r>
            <w:r>
              <w:rPr>
                <w:sz w:val="22"/>
                <w:lang w:val="fr-FR"/>
              </w:rPr>
              <w:t>-</w:t>
            </w:r>
            <w:r w:rsidRPr="00F02608">
              <w:rPr>
                <w:sz w:val="22"/>
                <w:lang w:val="fr-FR"/>
              </w:rPr>
              <w:t xml:space="preserve"> </w:t>
            </w:r>
            <w:hyperlink r:id="rId25" w:history="1">
              <w:r w:rsidRPr="00327F05">
                <w:rPr>
                  <w:rStyle w:val="Hyperlink"/>
                  <w:sz w:val="22"/>
                  <w:lang w:val="fr-FR"/>
                </w:rPr>
                <w:t>https://educationendowmentfoundation.org.uk/education-evidence/teaching-learning-toolkit/arts-participation</w:t>
              </w:r>
            </w:hyperlink>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Pr="00763777" w:rsidRDefault="00AD6D18" w:rsidP="008274C9">
            <w:pPr>
              <w:pStyle w:val="TableRowCentered"/>
              <w:jc w:val="left"/>
              <w:rPr>
                <w:sz w:val="22"/>
                <w:lang w:val="fr-FR"/>
              </w:rPr>
            </w:pPr>
            <w:r>
              <w:rPr>
                <w:sz w:val="22"/>
                <w:lang w:val="fr-FR"/>
              </w:rPr>
              <w:t>3 and 4</w:t>
            </w:r>
          </w:p>
        </w:tc>
      </w:tr>
      <w:tr w:rsidR="008274C9" w:rsidRPr="00763777" w:rsidTr="009D2E60">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8274C9" w:rsidP="008274C9">
            <w:pPr>
              <w:pStyle w:val="TableRow"/>
              <w:ind w:left="0"/>
              <w:rPr>
                <w:i/>
                <w:sz w:val="22"/>
              </w:rPr>
            </w:pPr>
            <w:r>
              <w:rPr>
                <w:i/>
                <w:sz w:val="22"/>
              </w:rPr>
              <w:t xml:space="preserve">Habit Factory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Pr="00763777" w:rsidRDefault="00763777" w:rsidP="008274C9">
            <w:pPr>
              <w:pStyle w:val="TableRowCentered"/>
              <w:jc w:val="left"/>
              <w:rPr>
                <w:sz w:val="22"/>
                <w:lang w:val="fr-FR"/>
              </w:rPr>
            </w:pPr>
            <w:r w:rsidRPr="00F02608">
              <w:rPr>
                <w:sz w:val="22"/>
                <w:lang w:val="fr-FR"/>
              </w:rPr>
              <w:t>EEF- Arts Participation</w:t>
            </w:r>
            <w:r>
              <w:rPr>
                <w:sz w:val="22"/>
                <w:lang w:val="fr-FR"/>
              </w:rPr>
              <w:t>-</w:t>
            </w:r>
            <w:r w:rsidRPr="00F02608">
              <w:rPr>
                <w:sz w:val="22"/>
                <w:lang w:val="fr-FR"/>
              </w:rPr>
              <w:t xml:space="preserve"> </w:t>
            </w:r>
            <w:hyperlink r:id="rId26" w:history="1">
              <w:r w:rsidRPr="00327F05">
                <w:rPr>
                  <w:rStyle w:val="Hyperlink"/>
                  <w:sz w:val="22"/>
                  <w:lang w:val="fr-FR"/>
                </w:rPr>
                <w:t>https://educationendowmentfoundation.org.uk/education-evidence/teaching-learning-toolkit/arts-participation</w:t>
              </w:r>
            </w:hyperlink>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Pr="00763777" w:rsidRDefault="00AD6D18" w:rsidP="008274C9">
            <w:pPr>
              <w:pStyle w:val="TableRowCentered"/>
              <w:jc w:val="left"/>
              <w:rPr>
                <w:sz w:val="22"/>
                <w:lang w:val="fr-FR"/>
              </w:rPr>
            </w:pPr>
            <w:r>
              <w:rPr>
                <w:sz w:val="22"/>
                <w:lang w:val="fr-FR"/>
              </w:rPr>
              <w:t>3 and 6</w:t>
            </w:r>
          </w:p>
        </w:tc>
      </w:tr>
      <w:tr w:rsidR="008274C9" w:rsidRPr="009D2E60" w:rsidTr="009D2E60">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763777" w:rsidP="008274C9">
            <w:pPr>
              <w:pStyle w:val="TableRow"/>
              <w:ind w:left="0"/>
              <w:rPr>
                <w:i/>
                <w:sz w:val="22"/>
              </w:rPr>
            </w:pPr>
            <w:r>
              <w:rPr>
                <w:i/>
                <w:sz w:val="22"/>
              </w:rPr>
              <w:t>Forest School</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2E60" w:rsidRDefault="009D2E60" w:rsidP="009D2E60">
            <w:pPr>
              <w:pStyle w:val="TableRowCentered"/>
              <w:jc w:val="left"/>
              <w:rPr>
                <w:sz w:val="22"/>
              </w:rPr>
            </w:pPr>
            <w:r w:rsidRPr="009D2E60">
              <w:rPr>
                <w:sz w:val="22"/>
              </w:rPr>
              <w:t>EEF- Outd</w:t>
            </w:r>
            <w:r>
              <w:rPr>
                <w:sz w:val="22"/>
              </w:rPr>
              <w:t xml:space="preserve">oor learning. </w:t>
            </w:r>
            <w:r w:rsidRPr="009D2E60">
              <w:rPr>
                <w:sz w:val="22"/>
              </w:rPr>
              <w:t>Impact unclea</w:t>
            </w:r>
            <w:r>
              <w:rPr>
                <w:sz w:val="22"/>
              </w:rPr>
              <w:t xml:space="preserve">r due to limited evidence however this is beneficial for children in our school and is supports social and emotional learning </w:t>
            </w:r>
            <w:hyperlink r:id="rId27" w:history="1">
              <w:r w:rsidRPr="00327F05">
                <w:rPr>
                  <w:rStyle w:val="Hyperlink"/>
                  <w:sz w:val="22"/>
                </w:rPr>
                <w:t>https://educationendowmentfoundation.org.uk/education-evidence/teaching-learning-toolkit/outdoor-adventure-learning</w:t>
              </w:r>
            </w:hyperlink>
            <w:r>
              <w:rPr>
                <w:sz w:val="22"/>
              </w:rPr>
              <w:t xml:space="preserve"> EEF- Social and Emotional Learning – Moderate Impact</w:t>
            </w:r>
          </w:p>
          <w:p w:rsidR="008274C9" w:rsidRPr="009D2E60" w:rsidRDefault="009205FB" w:rsidP="009D2E60">
            <w:pPr>
              <w:pStyle w:val="TableRowCentered"/>
              <w:jc w:val="left"/>
              <w:rPr>
                <w:sz w:val="22"/>
              </w:rPr>
            </w:pPr>
            <w:hyperlink r:id="rId28" w:history="1">
              <w:r w:rsidR="009D2E60" w:rsidRPr="00327F05">
                <w:rPr>
                  <w:rStyle w:val="Hyperlink"/>
                  <w:sz w:val="22"/>
                </w:rPr>
                <w:t>https://educationendowmentfoundation.org.uk/education-evidence/teaching-learning-toolkit/social-and-emotional-learning</w:t>
              </w:r>
            </w:hyperlink>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Pr="009D2E60" w:rsidRDefault="00AD6D18" w:rsidP="008274C9">
            <w:pPr>
              <w:pStyle w:val="TableRowCentered"/>
              <w:jc w:val="left"/>
              <w:rPr>
                <w:sz w:val="22"/>
              </w:rPr>
            </w:pPr>
            <w:r>
              <w:rPr>
                <w:sz w:val="22"/>
              </w:rPr>
              <w:t>3 and 6</w:t>
            </w:r>
          </w:p>
        </w:tc>
      </w:tr>
      <w:tr w:rsidR="008274C9" w:rsidTr="009D2E60">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8274C9" w:rsidP="008274C9">
            <w:pPr>
              <w:pStyle w:val="TableRow"/>
              <w:rPr>
                <w:i/>
                <w:sz w:val="22"/>
              </w:rPr>
            </w:pPr>
            <w:r>
              <w:rPr>
                <w:i/>
                <w:sz w:val="22"/>
              </w:rPr>
              <w:t>Holiday clubs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2E60" w:rsidRDefault="009D2E60" w:rsidP="008274C9">
            <w:pPr>
              <w:pStyle w:val="TableRowCentered"/>
              <w:jc w:val="left"/>
              <w:rPr>
                <w:sz w:val="22"/>
              </w:rPr>
            </w:pPr>
            <w:r>
              <w:rPr>
                <w:sz w:val="22"/>
              </w:rPr>
              <w:t>EEF- Physical Activity Low impact, limited evidence</w:t>
            </w:r>
          </w:p>
          <w:p w:rsidR="009D2E60" w:rsidRDefault="009205FB" w:rsidP="008274C9">
            <w:pPr>
              <w:pStyle w:val="TableRowCentered"/>
              <w:jc w:val="left"/>
              <w:rPr>
                <w:sz w:val="22"/>
              </w:rPr>
            </w:pPr>
            <w:hyperlink r:id="rId29" w:history="1">
              <w:r w:rsidR="009D2E60" w:rsidRPr="00327F05">
                <w:rPr>
                  <w:rStyle w:val="Hyperlink"/>
                  <w:sz w:val="22"/>
                </w:rPr>
                <w:t>https://educationendowmentfoundation.org.uk/education-evidence/teaching-learning-toolkit/physical-activity</w:t>
              </w:r>
            </w:hyperlink>
            <w:r w:rsidR="009D2E60">
              <w:rPr>
                <w:sz w:val="22"/>
              </w:rPr>
              <w:t xml:space="preserve"> </w:t>
            </w:r>
          </w:p>
          <w:p w:rsidR="008274C9" w:rsidRDefault="009D2E60" w:rsidP="008274C9">
            <w:pPr>
              <w:pStyle w:val="TableRowCentered"/>
              <w:jc w:val="left"/>
              <w:rPr>
                <w:sz w:val="22"/>
              </w:rPr>
            </w:pPr>
            <w:r>
              <w:rPr>
                <w:sz w:val="22"/>
              </w:rPr>
              <w:t xml:space="preserve">EEF- Summer Schools based on limited evidence, Moderate impact </w:t>
            </w:r>
            <w:hyperlink r:id="rId30" w:history="1">
              <w:r w:rsidRPr="00327F05">
                <w:rPr>
                  <w:rStyle w:val="Hyperlink"/>
                  <w:sz w:val="22"/>
                </w:rPr>
                <w:t>https://educationendowmentfoundation.org.uk/education-evidence/teaching-learning-toolkit/summer-schools</w:t>
              </w:r>
            </w:hyperlink>
            <w:r>
              <w:rPr>
                <w:sz w:val="22"/>
              </w:rPr>
              <w:t xml:space="preserve"> </w:t>
            </w: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AD6D18" w:rsidP="008274C9">
            <w:pPr>
              <w:pStyle w:val="TableRowCentered"/>
              <w:jc w:val="left"/>
              <w:rPr>
                <w:sz w:val="22"/>
              </w:rPr>
            </w:pPr>
            <w:r>
              <w:rPr>
                <w:sz w:val="22"/>
              </w:rPr>
              <w:t>3 and 6</w:t>
            </w:r>
          </w:p>
        </w:tc>
      </w:tr>
      <w:tr w:rsidR="008274C9" w:rsidTr="009D2E60">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8274C9" w:rsidP="008274C9">
            <w:pPr>
              <w:pStyle w:val="TableRow"/>
              <w:rPr>
                <w:i/>
                <w:sz w:val="22"/>
              </w:rPr>
            </w:pPr>
            <w:r>
              <w:rPr>
                <w:i/>
                <w:sz w:val="22"/>
              </w:rPr>
              <w:t>Therapy Dog</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2E60" w:rsidRDefault="009D2E60" w:rsidP="008274C9">
            <w:pPr>
              <w:pStyle w:val="TableRowCentered"/>
              <w:jc w:val="left"/>
              <w:rPr>
                <w:sz w:val="22"/>
              </w:rPr>
            </w:pPr>
            <w:r>
              <w:rPr>
                <w:sz w:val="22"/>
              </w:rPr>
              <w:t>EEF- Social and Emotional Learning – Moderate Impact</w:t>
            </w:r>
          </w:p>
          <w:p w:rsidR="008274C9" w:rsidRDefault="009205FB" w:rsidP="008274C9">
            <w:pPr>
              <w:pStyle w:val="TableRowCentered"/>
              <w:jc w:val="left"/>
              <w:rPr>
                <w:sz w:val="22"/>
              </w:rPr>
            </w:pPr>
            <w:hyperlink r:id="rId31" w:history="1">
              <w:r w:rsidR="009D2E60" w:rsidRPr="00327F05">
                <w:rPr>
                  <w:rStyle w:val="Hyperlink"/>
                  <w:sz w:val="22"/>
                </w:rPr>
                <w:t>https://educationendowmentfoundation.org.uk/education-evidence/teaching-learning-toolkit/social-and-emotional-learning</w:t>
              </w:r>
            </w:hyperlink>
            <w:r w:rsidR="009D2E60">
              <w:rPr>
                <w:sz w:val="22"/>
              </w:rPr>
              <w:t xml:space="preserve"> </w:t>
            </w: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AD6D18" w:rsidP="008274C9">
            <w:pPr>
              <w:pStyle w:val="TableRowCentered"/>
              <w:jc w:val="left"/>
              <w:rPr>
                <w:sz w:val="22"/>
              </w:rPr>
            </w:pPr>
            <w:r>
              <w:rPr>
                <w:sz w:val="22"/>
              </w:rPr>
              <w:t>6</w:t>
            </w:r>
          </w:p>
        </w:tc>
      </w:tr>
      <w:tr w:rsidR="009D2E60" w:rsidTr="009D2E60">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2E60" w:rsidRDefault="009D2E60" w:rsidP="009D2E60">
            <w:pPr>
              <w:pStyle w:val="TableRow"/>
              <w:rPr>
                <w:i/>
                <w:sz w:val="22"/>
              </w:rPr>
            </w:pPr>
            <w:r>
              <w:rPr>
                <w:i/>
                <w:sz w:val="22"/>
              </w:rPr>
              <w:t>Counselling</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2E60" w:rsidRDefault="009D2E60" w:rsidP="009D2E60">
            <w:pPr>
              <w:pStyle w:val="TableRowCentered"/>
              <w:jc w:val="left"/>
              <w:rPr>
                <w:sz w:val="22"/>
              </w:rPr>
            </w:pPr>
            <w:r>
              <w:rPr>
                <w:sz w:val="22"/>
              </w:rPr>
              <w:t>EEF- Social and Emotional Learning – Moderate Impact</w:t>
            </w:r>
          </w:p>
          <w:p w:rsidR="009D2E60" w:rsidRDefault="009205FB" w:rsidP="009D2E60">
            <w:pPr>
              <w:pStyle w:val="TableRowCentered"/>
              <w:jc w:val="left"/>
              <w:rPr>
                <w:sz w:val="22"/>
              </w:rPr>
            </w:pPr>
            <w:hyperlink r:id="rId32" w:history="1">
              <w:r w:rsidR="009D2E60" w:rsidRPr="00327F05">
                <w:rPr>
                  <w:rStyle w:val="Hyperlink"/>
                  <w:sz w:val="22"/>
                </w:rPr>
                <w:t>https://educationendowmentfoundation.org.uk/education-evidence/teaching-learning-toolkit/social-and-emotional-learning</w:t>
              </w:r>
            </w:hyperlink>
            <w:r w:rsidR="009D2E60">
              <w:rPr>
                <w:sz w:val="22"/>
              </w:rPr>
              <w:t xml:space="preserve"> </w:t>
            </w: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2E60" w:rsidRDefault="00AD6D18" w:rsidP="009D2E60">
            <w:pPr>
              <w:pStyle w:val="TableRowCentered"/>
              <w:jc w:val="left"/>
              <w:rPr>
                <w:sz w:val="22"/>
              </w:rPr>
            </w:pPr>
            <w:r>
              <w:rPr>
                <w:sz w:val="22"/>
              </w:rPr>
              <w:t>6</w:t>
            </w:r>
          </w:p>
        </w:tc>
      </w:tr>
      <w:tr w:rsidR="009D2E60" w:rsidTr="009D2E60">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2E60" w:rsidRDefault="009D2E60" w:rsidP="009D2E60">
            <w:pPr>
              <w:pStyle w:val="TableRow"/>
              <w:rPr>
                <w:i/>
                <w:sz w:val="22"/>
              </w:rPr>
            </w:pPr>
            <w:r>
              <w:rPr>
                <w:i/>
                <w:sz w:val="22"/>
              </w:rPr>
              <w:t>Busy Bees Nurture Club</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2E60" w:rsidRDefault="009D2E60" w:rsidP="009D2E60">
            <w:pPr>
              <w:pStyle w:val="TableRowCentered"/>
              <w:jc w:val="left"/>
              <w:rPr>
                <w:sz w:val="22"/>
              </w:rPr>
            </w:pPr>
            <w:r>
              <w:rPr>
                <w:sz w:val="22"/>
              </w:rPr>
              <w:t>EEF- Social and Emotional Learning – Moderate Impact</w:t>
            </w:r>
          </w:p>
          <w:p w:rsidR="009D2E60" w:rsidRDefault="009205FB" w:rsidP="009D2E60">
            <w:pPr>
              <w:pStyle w:val="TableRowCentered"/>
              <w:jc w:val="left"/>
              <w:rPr>
                <w:sz w:val="22"/>
              </w:rPr>
            </w:pPr>
            <w:hyperlink r:id="rId33" w:history="1">
              <w:r w:rsidR="009D2E60" w:rsidRPr="00327F05">
                <w:rPr>
                  <w:rStyle w:val="Hyperlink"/>
                  <w:sz w:val="22"/>
                </w:rPr>
                <w:t>https://educationendowmentfoundation.org.uk/education-evidence/teaching-learning-toolkit/social-and-emotional-learning</w:t>
              </w:r>
            </w:hyperlink>
            <w:r w:rsidR="009D2E60">
              <w:rPr>
                <w:sz w:val="22"/>
              </w:rPr>
              <w:t xml:space="preserve"> </w:t>
            </w: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2E60" w:rsidRDefault="00AD6D18" w:rsidP="009D2E60">
            <w:pPr>
              <w:pStyle w:val="TableRowCentered"/>
              <w:jc w:val="left"/>
              <w:rPr>
                <w:sz w:val="22"/>
              </w:rPr>
            </w:pPr>
            <w:r>
              <w:rPr>
                <w:sz w:val="22"/>
              </w:rPr>
              <w:t>6</w:t>
            </w:r>
          </w:p>
        </w:tc>
      </w:tr>
    </w:tbl>
    <w:p w:rsidR="00E66558" w:rsidRDefault="00E66558">
      <w:pPr>
        <w:spacing w:after="0"/>
        <w:rPr>
          <w:b/>
          <w:color w:val="104F75"/>
          <w:sz w:val="28"/>
          <w:szCs w:val="28"/>
        </w:rPr>
      </w:pPr>
    </w:p>
    <w:p w:rsidR="00E66558" w:rsidRPr="005A3267" w:rsidRDefault="009D71E8" w:rsidP="005A3267">
      <w:pPr>
        <w:rPr>
          <w:b/>
          <w:color w:val="auto"/>
          <w:sz w:val="28"/>
          <w:szCs w:val="28"/>
        </w:rPr>
      </w:pPr>
      <w:r w:rsidRPr="005A3267">
        <w:rPr>
          <w:b/>
          <w:color w:val="auto"/>
          <w:sz w:val="28"/>
          <w:szCs w:val="28"/>
        </w:rPr>
        <w:t>Wider strategies (for example, related to attendance, behaviour, wellbeing)</w:t>
      </w:r>
    </w:p>
    <w:p w:rsidR="00E66558" w:rsidRDefault="009D71E8">
      <w:pPr>
        <w:spacing w:before="240" w:after="120"/>
      </w:pPr>
      <w:r>
        <w:t xml:space="preserve">Budgeted cost: £ </w:t>
      </w:r>
      <w:r w:rsidR="00DC6684">
        <w:rPr>
          <w:i/>
          <w:iCs/>
        </w:rPr>
        <w:t>48,202</w:t>
      </w:r>
    </w:p>
    <w:tbl>
      <w:tblPr>
        <w:tblW w:w="5000" w:type="pct"/>
        <w:tblLayout w:type="fixed"/>
        <w:tblCellMar>
          <w:left w:w="10" w:type="dxa"/>
          <w:right w:w="10" w:type="dxa"/>
        </w:tblCellMar>
        <w:tblLook w:val="04A0" w:firstRow="1" w:lastRow="0" w:firstColumn="1" w:lastColumn="0" w:noHBand="0" w:noVBand="1"/>
      </w:tblPr>
      <w:tblGrid>
        <w:gridCol w:w="3707"/>
        <w:gridCol w:w="7458"/>
        <w:gridCol w:w="3621"/>
      </w:tblGrid>
      <w:tr w:rsidR="00E66558" w:rsidTr="004E731C">
        <w:tc>
          <w:tcPr>
            <w:tcW w:w="3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66558" w:rsidRDefault="009D71E8">
            <w:pPr>
              <w:pStyle w:val="TableHeader"/>
              <w:jc w:val="left"/>
            </w:pPr>
            <w:r>
              <w:t>Activity</w:t>
            </w:r>
          </w:p>
        </w:tc>
        <w:tc>
          <w:tcPr>
            <w:tcW w:w="74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66558" w:rsidRDefault="009D71E8">
            <w:pPr>
              <w:pStyle w:val="TableHeader"/>
              <w:jc w:val="left"/>
            </w:pPr>
            <w:r>
              <w:t>Evidence that supports this approach</w:t>
            </w:r>
          </w:p>
        </w:tc>
        <w:tc>
          <w:tcPr>
            <w:tcW w:w="36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E66558" w:rsidRDefault="009D71E8">
            <w:pPr>
              <w:pStyle w:val="TableHeader"/>
              <w:jc w:val="left"/>
            </w:pPr>
            <w:r>
              <w:t>Challenge number(s) addressed</w:t>
            </w:r>
          </w:p>
        </w:tc>
      </w:tr>
      <w:tr w:rsidR="00E66558" w:rsidTr="004E731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B6767">
            <w:pPr>
              <w:pStyle w:val="TableRow"/>
            </w:pPr>
            <w:r>
              <w:rPr>
                <w:i/>
                <w:iCs/>
                <w:sz w:val="22"/>
                <w:szCs w:val="22"/>
              </w:rPr>
              <w:t xml:space="preserve">Mentor to support </w:t>
            </w:r>
            <w:r w:rsidR="008274C9">
              <w:rPr>
                <w:i/>
                <w:iCs/>
                <w:sz w:val="22"/>
                <w:szCs w:val="22"/>
              </w:rPr>
              <w:t>behaviour and attendance</w:t>
            </w:r>
            <w:r>
              <w:rPr>
                <w:i/>
                <w:iCs/>
                <w:sz w:val="22"/>
                <w:szCs w:val="22"/>
              </w:rPr>
              <w:t xml:space="preserve"> across the school</w:t>
            </w:r>
            <w:r w:rsidR="008274C9">
              <w:rPr>
                <w:i/>
                <w:iCs/>
                <w:sz w:val="22"/>
                <w:szCs w:val="22"/>
              </w:rPr>
              <w:t xml:space="preserve"> and external support from behaviour team</w:t>
            </w:r>
          </w:p>
        </w:tc>
        <w:tc>
          <w:tcPr>
            <w:tcW w:w="7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31C" w:rsidRDefault="004E731C">
            <w:pPr>
              <w:pStyle w:val="TableRowCentered"/>
              <w:jc w:val="left"/>
              <w:rPr>
                <w:sz w:val="22"/>
              </w:rPr>
            </w:pPr>
            <w:r>
              <w:rPr>
                <w:sz w:val="22"/>
              </w:rPr>
              <w:t xml:space="preserve">EEF Attendance review. Including parental engagement. </w:t>
            </w:r>
            <w:hyperlink r:id="rId34" w:history="1">
              <w:r w:rsidRPr="00327F05">
                <w:rPr>
                  <w:rStyle w:val="Hyperlink"/>
                  <w:sz w:val="22"/>
                </w:rPr>
                <w:t>https://educationendowmentfoundation.org.uk/education-evidence/evidence-reviews/attendance-interventions-rapid-evidence-assessment?utm_source=/education-evidence/evidence-reviews/attendance-interventions-rapid-evidence-assessment&amp;utm_medium=search&amp;utm_campaign=site_search&amp;search_term=attendance</w:t>
              </w:r>
            </w:hyperlink>
            <w:r>
              <w:rPr>
                <w:sz w:val="22"/>
              </w:rPr>
              <w:t xml:space="preserve"> </w:t>
            </w:r>
          </w:p>
          <w:p w:rsidR="004E731C" w:rsidRDefault="004E731C">
            <w:pPr>
              <w:pStyle w:val="TableRowCentered"/>
              <w:jc w:val="left"/>
              <w:rPr>
                <w:sz w:val="22"/>
              </w:rPr>
            </w:pPr>
          </w:p>
          <w:p w:rsidR="00E66558" w:rsidRDefault="00763777">
            <w:pPr>
              <w:pStyle w:val="TableRowCentered"/>
              <w:jc w:val="left"/>
              <w:rPr>
                <w:sz w:val="22"/>
              </w:rPr>
            </w:pPr>
            <w:r>
              <w:rPr>
                <w:sz w:val="22"/>
              </w:rPr>
              <w:t xml:space="preserve">EEF- Behaviour Interventions. Moderate impact </w:t>
            </w:r>
            <w:hyperlink r:id="rId35" w:history="1">
              <w:r w:rsidRPr="00327F05">
                <w:rPr>
                  <w:rStyle w:val="Hyperlink"/>
                  <w:sz w:val="22"/>
                </w:rPr>
                <w:t>https://educationendowmentfoundation.org.uk/education-evidence/teaching-learning-toolkit/behaviour-interventions</w:t>
              </w:r>
            </w:hyperlink>
            <w:r w:rsidR="00A06DDF">
              <w:rPr>
                <w:sz w:val="22"/>
              </w:rPr>
              <w:t xml:space="preserve"> </w:t>
            </w: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D6D18">
            <w:pPr>
              <w:pStyle w:val="TableRowCentered"/>
              <w:jc w:val="left"/>
              <w:rPr>
                <w:sz w:val="22"/>
              </w:rPr>
            </w:pPr>
            <w:r>
              <w:rPr>
                <w:sz w:val="22"/>
              </w:rPr>
              <w:t>5</w:t>
            </w:r>
          </w:p>
        </w:tc>
      </w:tr>
      <w:tr w:rsidR="008274C9" w:rsidTr="004E731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8274C9" w:rsidP="008274C9">
            <w:pPr>
              <w:pStyle w:val="TableRow"/>
              <w:rPr>
                <w:i/>
                <w:sz w:val="22"/>
              </w:rPr>
            </w:pPr>
            <w:r>
              <w:rPr>
                <w:i/>
                <w:sz w:val="22"/>
              </w:rPr>
              <w:t xml:space="preserve">Educational enrichment visits </w:t>
            </w:r>
          </w:p>
        </w:tc>
        <w:tc>
          <w:tcPr>
            <w:tcW w:w="7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4E731C" w:rsidP="008274C9">
            <w:pPr>
              <w:pStyle w:val="TableRowCentered"/>
              <w:jc w:val="left"/>
              <w:rPr>
                <w:sz w:val="22"/>
              </w:rPr>
            </w:pPr>
            <w:r>
              <w:rPr>
                <w:sz w:val="22"/>
              </w:rPr>
              <w:t xml:space="preserve">Please see additional information regarding school context. </w:t>
            </w: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AD6D18" w:rsidP="008274C9">
            <w:pPr>
              <w:pStyle w:val="TableRowCentered"/>
              <w:jc w:val="left"/>
              <w:rPr>
                <w:sz w:val="22"/>
              </w:rPr>
            </w:pPr>
            <w:r>
              <w:rPr>
                <w:sz w:val="22"/>
              </w:rPr>
              <w:t>3</w:t>
            </w:r>
          </w:p>
        </w:tc>
      </w:tr>
      <w:tr w:rsidR="008274C9" w:rsidTr="004E731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8274C9" w:rsidP="008274C9">
            <w:pPr>
              <w:pStyle w:val="TableRow"/>
              <w:rPr>
                <w:i/>
                <w:sz w:val="22"/>
              </w:rPr>
            </w:pPr>
            <w:r>
              <w:rPr>
                <w:i/>
                <w:sz w:val="22"/>
              </w:rPr>
              <w:t xml:space="preserve">Breakfast Club </w:t>
            </w:r>
          </w:p>
        </w:tc>
        <w:tc>
          <w:tcPr>
            <w:tcW w:w="7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731C" w:rsidRDefault="004E731C" w:rsidP="004E731C">
            <w:pPr>
              <w:pStyle w:val="TableRowCentered"/>
              <w:jc w:val="left"/>
              <w:rPr>
                <w:sz w:val="22"/>
              </w:rPr>
            </w:pPr>
            <w:r>
              <w:rPr>
                <w:sz w:val="22"/>
              </w:rPr>
              <w:t xml:space="preserve">EEF Attendance review. Including parental engagement. </w:t>
            </w:r>
            <w:hyperlink r:id="rId36" w:history="1">
              <w:r w:rsidRPr="00327F05">
                <w:rPr>
                  <w:rStyle w:val="Hyperlink"/>
                  <w:sz w:val="22"/>
                </w:rPr>
                <w:t>https://educationendowmentfoundation.org.uk/education-evidence/evidence-reviews/attendance-interventions-rapid-evidence-assessment?utm_source=/education-evidence/evidence-reviews/attendance-interventions-rapid-evidence-assessment&amp;utm_medium=search&amp;utm_campaign=site_search&amp;search_term=attendance</w:t>
              </w:r>
            </w:hyperlink>
            <w:r>
              <w:rPr>
                <w:sz w:val="22"/>
              </w:rPr>
              <w:t xml:space="preserve"> </w:t>
            </w:r>
          </w:p>
          <w:p w:rsidR="008274C9" w:rsidRDefault="008274C9" w:rsidP="008274C9">
            <w:pPr>
              <w:pStyle w:val="TableRowCentered"/>
              <w:jc w:val="left"/>
              <w:rPr>
                <w:sz w:val="22"/>
              </w:rPr>
            </w:pP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AD6D18" w:rsidP="008274C9">
            <w:pPr>
              <w:pStyle w:val="TableRowCentered"/>
              <w:jc w:val="left"/>
              <w:rPr>
                <w:sz w:val="22"/>
              </w:rPr>
            </w:pPr>
            <w:r>
              <w:rPr>
                <w:sz w:val="22"/>
              </w:rPr>
              <w:t>5</w:t>
            </w:r>
          </w:p>
        </w:tc>
      </w:tr>
      <w:tr w:rsidR="008274C9" w:rsidTr="004E731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8274C9" w:rsidP="008274C9">
            <w:pPr>
              <w:pStyle w:val="TableRow"/>
              <w:rPr>
                <w:i/>
                <w:sz w:val="22"/>
              </w:rPr>
            </w:pPr>
            <w:r>
              <w:rPr>
                <w:i/>
                <w:sz w:val="22"/>
              </w:rPr>
              <w:t xml:space="preserve">Uniform subsidy </w:t>
            </w:r>
          </w:p>
        </w:tc>
        <w:tc>
          <w:tcPr>
            <w:tcW w:w="7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9D2E60" w:rsidP="008274C9">
            <w:pPr>
              <w:pStyle w:val="TableRowCentered"/>
              <w:jc w:val="left"/>
              <w:rPr>
                <w:sz w:val="22"/>
              </w:rPr>
            </w:pPr>
            <w:r>
              <w:rPr>
                <w:sz w:val="22"/>
              </w:rPr>
              <w:t xml:space="preserve">EEF- School Uniform- Overall impact not known. </w:t>
            </w:r>
            <w:r w:rsidR="004E731C">
              <w:rPr>
                <w:sz w:val="22"/>
              </w:rPr>
              <w:t xml:space="preserve">Please see additional information regarding school context. </w:t>
            </w:r>
            <w:hyperlink r:id="rId37" w:history="1">
              <w:r w:rsidRPr="00327F05">
                <w:rPr>
                  <w:rStyle w:val="Hyperlink"/>
                  <w:sz w:val="22"/>
                </w:rPr>
                <w:t>https://educationendowmentfoundation.org.uk/education-evidence/teaching-learning-toolkit/school-uniform</w:t>
              </w:r>
            </w:hyperlink>
            <w:r>
              <w:rPr>
                <w:sz w:val="22"/>
              </w:rPr>
              <w:t xml:space="preserve"> </w:t>
            </w: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AD6D18" w:rsidP="008274C9">
            <w:pPr>
              <w:pStyle w:val="TableRowCentered"/>
              <w:jc w:val="left"/>
              <w:rPr>
                <w:sz w:val="22"/>
              </w:rPr>
            </w:pPr>
            <w:r>
              <w:rPr>
                <w:sz w:val="22"/>
              </w:rPr>
              <w:t>5</w:t>
            </w:r>
          </w:p>
        </w:tc>
      </w:tr>
      <w:tr w:rsidR="008274C9" w:rsidTr="004E731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8274C9" w:rsidP="008274C9">
            <w:pPr>
              <w:pStyle w:val="TableRow"/>
              <w:rPr>
                <w:i/>
                <w:sz w:val="22"/>
              </w:rPr>
            </w:pPr>
            <w:r>
              <w:rPr>
                <w:i/>
                <w:sz w:val="22"/>
              </w:rPr>
              <w:t>National School Breakfast programme</w:t>
            </w:r>
          </w:p>
        </w:tc>
        <w:tc>
          <w:tcPr>
            <w:tcW w:w="7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4E731C" w:rsidP="008274C9">
            <w:pPr>
              <w:pStyle w:val="TableRowCentered"/>
              <w:jc w:val="left"/>
              <w:rPr>
                <w:sz w:val="22"/>
              </w:rPr>
            </w:pPr>
            <w:r>
              <w:rPr>
                <w:sz w:val="22"/>
              </w:rPr>
              <w:t>Please see additional information regarding school context.</w:t>
            </w: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AD6D18" w:rsidP="008274C9">
            <w:pPr>
              <w:pStyle w:val="TableRowCentered"/>
              <w:jc w:val="left"/>
              <w:rPr>
                <w:sz w:val="22"/>
              </w:rPr>
            </w:pPr>
            <w:r>
              <w:rPr>
                <w:sz w:val="22"/>
              </w:rPr>
              <w:t>6</w:t>
            </w:r>
          </w:p>
        </w:tc>
      </w:tr>
      <w:tr w:rsidR="008274C9" w:rsidTr="004E731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2C7178" w:rsidP="008274C9">
            <w:pPr>
              <w:pStyle w:val="TableRow"/>
              <w:rPr>
                <w:i/>
                <w:sz w:val="22"/>
              </w:rPr>
            </w:pPr>
            <w:r>
              <w:rPr>
                <w:i/>
                <w:sz w:val="22"/>
              </w:rPr>
              <w:t>Parent Partnership</w:t>
            </w:r>
            <w:r w:rsidR="004E731C">
              <w:rPr>
                <w:i/>
                <w:sz w:val="22"/>
              </w:rPr>
              <w:t xml:space="preserve"> Workshops</w:t>
            </w:r>
          </w:p>
        </w:tc>
        <w:tc>
          <w:tcPr>
            <w:tcW w:w="7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Pr="002C7178" w:rsidRDefault="002C7178" w:rsidP="008274C9">
            <w:pPr>
              <w:pStyle w:val="TableRowCentered"/>
              <w:jc w:val="left"/>
              <w:rPr>
                <w:sz w:val="22"/>
                <w:lang w:val="fr-FR"/>
              </w:rPr>
            </w:pPr>
            <w:r w:rsidRPr="002C7178">
              <w:rPr>
                <w:sz w:val="22"/>
                <w:lang w:val="fr-FR"/>
              </w:rPr>
              <w:t xml:space="preserve">EEF Parental </w:t>
            </w:r>
            <w:r>
              <w:rPr>
                <w:sz w:val="22"/>
                <w:lang w:val="fr-FR"/>
              </w:rPr>
              <w:t xml:space="preserve">Engagement  Moderate impact </w:t>
            </w:r>
            <w:hyperlink r:id="rId38" w:history="1">
              <w:r w:rsidRPr="00327F05">
                <w:rPr>
                  <w:rStyle w:val="Hyperlink"/>
                  <w:sz w:val="22"/>
                  <w:lang w:val="fr-FR"/>
                </w:rPr>
                <w:t>https://educationendowmentfoundation.org.uk/education-evidence/teaching-learning-toolkit/parental-engagement</w:t>
              </w:r>
            </w:hyperlink>
          </w:p>
          <w:p w:rsidR="002C7178" w:rsidRPr="002C7178" w:rsidRDefault="002C7178" w:rsidP="008274C9">
            <w:pPr>
              <w:pStyle w:val="TableRowCentered"/>
              <w:jc w:val="left"/>
              <w:rPr>
                <w:sz w:val="22"/>
                <w:lang w:val="fr-FR"/>
              </w:rPr>
            </w:pPr>
          </w:p>
          <w:p w:rsidR="002C7178" w:rsidRDefault="002C7178" w:rsidP="002C7178">
            <w:pPr>
              <w:pStyle w:val="TableRowCentered"/>
              <w:jc w:val="left"/>
              <w:rPr>
                <w:sz w:val="22"/>
              </w:rPr>
            </w:pPr>
            <w:r>
              <w:rPr>
                <w:sz w:val="22"/>
              </w:rPr>
              <w:t xml:space="preserve">EEF Attendance review. </w:t>
            </w:r>
            <w:hyperlink r:id="rId39" w:history="1">
              <w:r w:rsidRPr="00327F05">
                <w:rPr>
                  <w:rStyle w:val="Hyperlink"/>
                  <w:sz w:val="22"/>
                </w:rPr>
                <w:t>https://educationendowmentfoundation.org.uk/education-evidence/evidence-reviews/attendance-interventions-rapid-evidence-assessment?utm_source=/education-evidence/evidence-reviews/attendance-interventions-rapid-evidence-assessment&amp;utm_medium=search&amp;utm_campaign=site_search&amp;search_term=attendance</w:t>
              </w:r>
            </w:hyperlink>
            <w:r>
              <w:rPr>
                <w:sz w:val="22"/>
              </w:rPr>
              <w:t xml:space="preserve"> </w:t>
            </w:r>
          </w:p>
          <w:p w:rsidR="002C7178" w:rsidRDefault="002C7178" w:rsidP="008274C9">
            <w:pPr>
              <w:pStyle w:val="TableRowCentered"/>
              <w:jc w:val="left"/>
              <w:rPr>
                <w:sz w:val="22"/>
              </w:rPr>
            </w:pPr>
          </w:p>
          <w:p w:rsidR="002C7178" w:rsidRDefault="002C7178" w:rsidP="008274C9">
            <w:pPr>
              <w:pStyle w:val="TableRowCentered"/>
              <w:jc w:val="left"/>
              <w:rPr>
                <w:sz w:val="22"/>
              </w:rPr>
            </w:pP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4C9" w:rsidRDefault="00AD6D18" w:rsidP="008274C9">
            <w:pPr>
              <w:pStyle w:val="TableRowCentered"/>
              <w:jc w:val="left"/>
              <w:rPr>
                <w:sz w:val="22"/>
              </w:rPr>
            </w:pPr>
            <w:r>
              <w:rPr>
                <w:sz w:val="22"/>
              </w:rPr>
              <w:t>6</w:t>
            </w:r>
          </w:p>
        </w:tc>
      </w:tr>
    </w:tbl>
    <w:p w:rsidR="00E66558" w:rsidRPr="00A02146" w:rsidRDefault="00E66558">
      <w:pPr>
        <w:spacing w:before="240" w:after="0"/>
        <w:rPr>
          <w:b/>
          <w:bCs/>
          <w:color w:val="auto"/>
          <w:sz w:val="28"/>
          <w:szCs w:val="28"/>
        </w:rPr>
      </w:pPr>
    </w:p>
    <w:p w:rsidR="00E66558" w:rsidRPr="00A02146" w:rsidRDefault="009D71E8" w:rsidP="00120AB1">
      <w:pPr>
        <w:rPr>
          <w:color w:val="auto"/>
        </w:rPr>
      </w:pPr>
      <w:r w:rsidRPr="00A02146">
        <w:rPr>
          <w:b/>
          <w:bCs/>
          <w:color w:val="auto"/>
          <w:sz w:val="28"/>
          <w:szCs w:val="28"/>
        </w:rPr>
        <w:t xml:space="preserve">Total budgeted cost: £ </w:t>
      </w:r>
      <w:r w:rsidR="006E5A07">
        <w:rPr>
          <w:i/>
          <w:iCs/>
          <w:color w:val="auto"/>
          <w:sz w:val="28"/>
          <w:szCs w:val="28"/>
        </w:rPr>
        <w:t>304,000</w:t>
      </w:r>
    </w:p>
    <w:p w:rsidR="00E66558" w:rsidRDefault="009D71E8">
      <w:pPr>
        <w:pStyle w:val="Heading1"/>
        <w:rPr>
          <w:color w:val="auto"/>
        </w:rPr>
      </w:pPr>
      <w:r w:rsidRPr="009C493F">
        <w:rPr>
          <w:color w:val="auto"/>
        </w:rPr>
        <w:t>Part B: Review of outcomes in the previous academic year</w:t>
      </w:r>
    </w:p>
    <w:tbl>
      <w:tblPr>
        <w:tblStyle w:val="TableGrid"/>
        <w:tblW w:w="0" w:type="auto"/>
        <w:tblLook w:val="04A0" w:firstRow="1" w:lastRow="0" w:firstColumn="1" w:lastColumn="0" w:noHBand="0" w:noVBand="1"/>
      </w:tblPr>
      <w:tblGrid>
        <w:gridCol w:w="4077"/>
        <w:gridCol w:w="1985"/>
      </w:tblGrid>
      <w:tr w:rsidR="009E6382" w:rsidTr="009E6382">
        <w:tc>
          <w:tcPr>
            <w:tcW w:w="4077" w:type="dxa"/>
            <w:vAlign w:val="center"/>
          </w:tcPr>
          <w:p w:rsidR="009E6382" w:rsidRPr="009E6382" w:rsidRDefault="009E6382" w:rsidP="009E6382">
            <w:pPr>
              <w:rPr>
                <w:sz w:val="22"/>
                <w:szCs w:val="22"/>
              </w:rPr>
            </w:pPr>
            <w:r w:rsidRPr="009E6382">
              <w:rPr>
                <w:sz w:val="22"/>
                <w:szCs w:val="22"/>
              </w:rPr>
              <w:t>Total funding received 20/21</w:t>
            </w:r>
          </w:p>
        </w:tc>
        <w:tc>
          <w:tcPr>
            <w:tcW w:w="1985" w:type="dxa"/>
            <w:vAlign w:val="center"/>
          </w:tcPr>
          <w:p w:rsidR="009E6382" w:rsidRPr="009E6382" w:rsidRDefault="009E6382" w:rsidP="009E6382">
            <w:pPr>
              <w:rPr>
                <w:sz w:val="22"/>
                <w:szCs w:val="22"/>
              </w:rPr>
            </w:pPr>
            <w:r w:rsidRPr="009E6382">
              <w:rPr>
                <w:sz w:val="22"/>
                <w:szCs w:val="22"/>
              </w:rPr>
              <w:t>£293,865</w:t>
            </w:r>
          </w:p>
        </w:tc>
      </w:tr>
      <w:tr w:rsidR="009E6382" w:rsidTr="009E6382">
        <w:tc>
          <w:tcPr>
            <w:tcW w:w="4077" w:type="dxa"/>
            <w:vAlign w:val="center"/>
          </w:tcPr>
          <w:p w:rsidR="009E6382" w:rsidRPr="009E6382" w:rsidRDefault="009E6382" w:rsidP="009E6382">
            <w:pPr>
              <w:rPr>
                <w:b/>
                <w:sz w:val="22"/>
                <w:szCs w:val="22"/>
              </w:rPr>
            </w:pPr>
            <w:r w:rsidRPr="009E6382">
              <w:rPr>
                <w:b/>
                <w:sz w:val="22"/>
                <w:szCs w:val="22"/>
              </w:rPr>
              <w:t>How we spent our funding 20/21</w:t>
            </w:r>
          </w:p>
        </w:tc>
        <w:tc>
          <w:tcPr>
            <w:tcW w:w="1985" w:type="dxa"/>
            <w:vAlign w:val="center"/>
          </w:tcPr>
          <w:p w:rsidR="009E6382" w:rsidRPr="009E6382" w:rsidRDefault="009E6382" w:rsidP="009E6382">
            <w:pPr>
              <w:rPr>
                <w:sz w:val="22"/>
                <w:szCs w:val="22"/>
              </w:rPr>
            </w:pPr>
          </w:p>
        </w:tc>
      </w:tr>
      <w:tr w:rsidR="009E6382" w:rsidTr="009E6382">
        <w:tc>
          <w:tcPr>
            <w:tcW w:w="4077" w:type="dxa"/>
            <w:vAlign w:val="center"/>
          </w:tcPr>
          <w:p w:rsidR="009E6382" w:rsidRPr="009E6382" w:rsidRDefault="009E6382" w:rsidP="009E6382">
            <w:pPr>
              <w:rPr>
                <w:sz w:val="22"/>
                <w:szCs w:val="22"/>
              </w:rPr>
            </w:pPr>
            <w:r w:rsidRPr="009E6382">
              <w:rPr>
                <w:sz w:val="22"/>
                <w:szCs w:val="22"/>
              </w:rPr>
              <w:t>Teaching</w:t>
            </w:r>
          </w:p>
        </w:tc>
        <w:tc>
          <w:tcPr>
            <w:tcW w:w="1985" w:type="dxa"/>
            <w:vAlign w:val="center"/>
          </w:tcPr>
          <w:p w:rsidR="009E6382" w:rsidRPr="009E6382" w:rsidRDefault="009E6382" w:rsidP="009E6382">
            <w:pPr>
              <w:rPr>
                <w:sz w:val="22"/>
                <w:szCs w:val="22"/>
              </w:rPr>
            </w:pPr>
            <w:r w:rsidRPr="009E6382">
              <w:rPr>
                <w:sz w:val="22"/>
                <w:szCs w:val="22"/>
              </w:rPr>
              <w:t>£114,657</w:t>
            </w:r>
          </w:p>
        </w:tc>
      </w:tr>
      <w:tr w:rsidR="009E6382" w:rsidTr="009E6382">
        <w:tc>
          <w:tcPr>
            <w:tcW w:w="4077" w:type="dxa"/>
            <w:vAlign w:val="center"/>
          </w:tcPr>
          <w:p w:rsidR="009E6382" w:rsidRPr="009E6382" w:rsidRDefault="009E6382" w:rsidP="009E6382">
            <w:pPr>
              <w:rPr>
                <w:sz w:val="22"/>
                <w:szCs w:val="22"/>
              </w:rPr>
            </w:pPr>
            <w:r w:rsidRPr="009E6382">
              <w:rPr>
                <w:sz w:val="22"/>
                <w:szCs w:val="22"/>
              </w:rPr>
              <w:t>Targeted academic support</w:t>
            </w:r>
          </w:p>
        </w:tc>
        <w:tc>
          <w:tcPr>
            <w:tcW w:w="1985" w:type="dxa"/>
            <w:vAlign w:val="center"/>
          </w:tcPr>
          <w:p w:rsidR="009E6382" w:rsidRPr="009E6382" w:rsidRDefault="009E6382" w:rsidP="009E6382">
            <w:pPr>
              <w:rPr>
                <w:sz w:val="22"/>
                <w:szCs w:val="22"/>
              </w:rPr>
            </w:pPr>
            <w:r w:rsidRPr="009E6382">
              <w:rPr>
                <w:sz w:val="22"/>
                <w:szCs w:val="22"/>
              </w:rPr>
              <w:t>£117,943</w:t>
            </w:r>
          </w:p>
        </w:tc>
      </w:tr>
      <w:tr w:rsidR="009E6382" w:rsidTr="009E6382">
        <w:tc>
          <w:tcPr>
            <w:tcW w:w="4077" w:type="dxa"/>
            <w:vAlign w:val="center"/>
          </w:tcPr>
          <w:p w:rsidR="009E6382" w:rsidRPr="009E6382" w:rsidRDefault="009E6382" w:rsidP="009E6382">
            <w:pPr>
              <w:rPr>
                <w:sz w:val="22"/>
                <w:szCs w:val="22"/>
              </w:rPr>
            </w:pPr>
            <w:r w:rsidRPr="009E6382">
              <w:rPr>
                <w:sz w:val="22"/>
                <w:szCs w:val="22"/>
              </w:rPr>
              <w:t>Wider strategies</w:t>
            </w:r>
          </w:p>
        </w:tc>
        <w:tc>
          <w:tcPr>
            <w:tcW w:w="1985" w:type="dxa"/>
            <w:vAlign w:val="center"/>
          </w:tcPr>
          <w:p w:rsidR="009E6382" w:rsidRPr="009E6382" w:rsidRDefault="009E6382" w:rsidP="009E6382">
            <w:pPr>
              <w:rPr>
                <w:sz w:val="22"/>
                <w:szCs w:val="22"/>
              </w:rPr>
            </w:pPr>
            <w:r w:rsidRPr="009E6382">
              <w:rPr>
                <w:sz w:val="22"/>
                <w:szCs w:val="22"/>
              </w:rPr>
              <w:t>£ 36,333</w:t>
            </w:r>
          </w:p>
        </w:tc>
      </w:tr>
      <w:tr w:rsidR="009E6382" w:rsidTr="009E6382">
        <w:tc>
          <w:tcPr>
            <w:tcW w:w="4077" w:type="dxa"/>
            <w:vAlign w:val="center"/>
          </w:tcPr>
          <w:p w:rsidR="009E6382" w:rsidRPr="009E6382" w:rsidRDefault="009E6382" w:rsidP="009E6382">
            <w:pPr>
              <w:rPr>
                <w:sz w:val="22"/>
                <w:szCs w:val="22"/>
              </w:rPr>
            </w:pPr>
            <w:r w:rsidRPr="009E6382">
              <w:rPr>
                <w:sz w:val="22"/>
                <w:szCs w:val="22"/>
              </w:rPr>
              <w:t>Carried forward to 21/22</w:t>
            </w:r>
          </w:p>
        </w:tc>
        <w:tc>
          <w:tcPr>
            <w:tcW w:w="1985" w:type="dxa"/>
            <w:vAlign w:val="center"/>
          </w:tcPr>
          <w:p w:rsidR="009E6382" w:rsidRPr="009E6382" w:rsidRDefault="009E6382" w:rsidP="009E6382">
            <w:pPr>
              <w:rPr>
                <w:sz w:val="22"/>
                <w:szCs w:val="22"/>
              </w:rPr>
            </w:pPr>
            <w:r w:rsidRPr="009E6382">
              <w:rPr>
                <w:sz w:val="22"/>
                <w:szCs w:val="22"/>
              </w:rPr>
              <w:t>£ 24,932</w:t>
            </w:r>
          </w:p>
        </w:tc>
      </w:tr>
    </w:tbl>
    <w:p w:rsidR="009E6382" w:rsidRPr="009E6382" w:rsidRDefault="009E6382" w:rsidP="009E6382"/>
    <w:p w:rsidR="00E66558" w:rsidRPr="00EC65DC" w:rsidRDefault="009D71E8">
      <w:pPr>
        <w:pStyle w:val="Heading2"/>
        <w:rPr>
          <w:color w:val="auto"/>
        </w:rPr>
      </w:pPr>
      <w:r w:rsidRPr="00EC65DC">
        <w:rPr>
          <w:color w:val="auto"/>
        </w:rPr>
        <w:t>Pupil premium strategy outcomes</w:t>
      </w:r>
    </w:p>
    <w:p w:rsidR="00E66558" w:rsidRPr="00EC65DC" w:rsidRDefault="009D71E8">
      <w:r w:rsidRPr="00EC65DC">
        <w:t xml:space="preserve">This details the impact that our pupil premium activity had on pupils in the 2020 to 2021 academic year. </w:t>
      </w:r>
    </w:p>
    <w:tbl>
      <w:tblPr>
        <w:tblW w:w="14709" w:type="dxa"/>
        <w:tblLayout w:type="fixed"/>
        <w:tblCellMar>
          <w:left w:w="10" w:type="dxa"/>
          <w:right w:w="10" w:type="dxa"/>
        </w:tblCellMar>
        <w:tblLook w:val="04A0" w:firstRow="1" w:lastRow="0" w:firstColumn="1" w:lastColumn="0" w:noHBand="0" w:noVBand="1"/>
      </w:tblPr>
      <w:tblGrid>
        <w:gridCol w:w="14709"/>
      </w:tblGrid>
      <w:tr w:rsidR="00E66558" w:rsidTr="002C7178">
        <w:trPr>
          <w:trHeight w:val="1102"/>
        </w:trPr>
        <w:tc>
          <w:tcPr>
            <w:tcW w:w="14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085"/>
              <w:gridCol w:w="845"/>
              <w:gridCol w:w="845"/>
              <w:gridCol w:w="845"/>
              <w:gridCol w:w="677"/>
              <w:gridCol w:w="250"/>
              <w:gridCol w:w="250"/>
            </w:tblGrid>
            <w:tr w:rsidR="00EC65DC" w:rsidRPr="00EC65DC" w:rsidTr="002C7178">
              <w:tc>
                <w:tcPr>
                  <w:tcW w:w="3620" w:type="dxa"/>
                  <w:gridSpan w:val="4"/>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r w:rsidRPr="00EC65DC">
                    <w:rPr>
                      <w:rFonts w:ascii="Calibri" w:hAnsi="Calibri" w:cs="Calibri"/>
                      <w:b/>
                      <w:bCs/>
                      <w:color w:val="000000"/>
                      <w:sz w:val="22"/>
                      <w:szCs w:val="22"/>
                    </w:rPr>
                    <w:t>YR Good Level of Development (GLD)</w:t>
                  </w:r>
                </w:p>
              </w:tc>
              <w:tc>
                <w:tcPr>
                  <w:tcW w:w="677" w:type="dxa"/>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c>
                <w:tcPr>
                  <w:tcW w:w="236" w:type="dxa"/>
                  <w:vMerge w:val="restart"/>
                  <w:tcBorders>
                    <w:left w:val="single" w:sz="4" w:space="0" w:color="000000"/>
                  </w:tcBorders>
                  <w:tcMar>
                    <w:top w:w="0" w:type="dxa"/>
                    <w:left w:w="115" w:type="dxa"/>
                    <w:bottom w:w="0" w:type="dxa"/>
                    <w:right w:w="115" w:type="dxa"/>
                  </w:tcMar>
                  <w:hideMark/>
                </w:tcPr>
                <w:p w:rsidR="00EC65DC" w:rsidRPr="00EC65DC" w:rsidRDefault="00EC65DC" w:rsidP="00EC65DC">
                  <w:pPr>
                    <w:suppressAutoHyphens w:val="0"/>
                    <w:autoSpaceDN/>
                    <w:spacing w:line="240" w:lineRule="auto"/>
                    <w:rPr>
                      <w:rFonts w:ascii="Times New Roman" w:hAnsi="Times New Roman"/>
                      <w:color w:val="auto"/>
                    </w:rPr>
                  </w:pPr>
                </w:p>
              </w:tc>
              <w:tc>
                <w:tcPr>
                  <w:tcW w:w="236" w:type="dxa"/>
                  <w:tcBorders>
                    <w:bottom w:val="single" w:sz="4" w:space="0" w:color="000000"/>
                  </w:tcBorders>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r>
            <w:tr w:rsidR="002C7178" w:rsidRPr="00EC65DC" w:rsidTr="002C7178">
              <w:trPr>
                <w:gridAfter w:val="1"/>
                <w:wAfter w:w="250" w:type="dxa"/>
              </w:trPr>
              <w:tc>
                <w:tcPr>
                  <w:tcW w:w="1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c>
                <w:tcPr>
                  <w:tcW w:w="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2017</w:t>
                  </w:r>
                </w:p>
              </w:tc>
              <w:tc>
                <w:tcPr>
                  <w:tcW w:w="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2018</w:t>
                  </w:r>
                </w:p>
              </w:tc>
              <w:tc>
                <w:tcPr>
                  <w:tcW w:w="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2019</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shd w:val="clear" w:color="auto" w:fill="FFFF00"/>
                    </w:rPr>
                    <w:t>2021</w:t>
                  </w:r>
                </w:p>
              </w:tc>
              <w:tc>
                <w:tcPr>
                  <w:tcW w:w="236" w:type="dxa"/>
                  <w:vMerge/>
                  <w:tcBorders>
                    <w:left w:val="single" w:sz="4" w:space="0" w:color="000000"/>
                  </w:tcBorders>
                  <w:vAlign w:val="cente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rPr>
                <w:gridAfter w:val="1"/>
                <w:wAfter w:w="250" w:type="dxa"/>
              </w:trPr>
              <w:tc>
                <w:tcPr>
                  <w:tcW w:w="1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r w:rsidRPr="00EC65DC">
                    <w:rPr>
                      <w:rFonts w:ascii="Calibri" w:hAnsi="Calibri" w:cs="Calibri"/>
                      <w:color w:val="000000"/>
                      <w:sz w:val="22"/>
                      <w:szCs w:val="22"/>
                    </w:rPr>
                    <w:t>Overall</w:t>
                  </w:r>
                </w:p>
              </w:tc>
              <w:tc>
                <w:tcPr>
                  <w:tcW w:w="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57%</w:t>
                  </w:r>
                </w:p>
              </w:tc>
              <w:tc>
                <w:tcPr>
                  <w:tcW w:w="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60%</w:t>
                  </w:r>
                </w:p>
              </w:tc>
              <w:tc>
                <w:tcPr>
                  <w:tcW w:w="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63%</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57%</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bl>
          <w:p w:rsidR="00EC65DC" w:rsidRPr="00EC65DC" w:rsidRDefault="00EC65DC" w:rsidP="00EC65DC">
            <w:pPr>
              <w:suppressAutoHyphens w:val="0"/>
              <w:autoSpaceDN/>
              <w:spacing w:line="240" w:lineRule="auto"/>
              <w:rPr>
                <w:rFonts w:ascii="Times New Roman" w:hAnsi="Times New Roman"/>
                <w:color w:val="auto"/>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68"/>
              <w:gridCol w:w="677"/>
              <w:gridCol w:w="677"/>
              <w:gridCol w:w="677"/>
              <w:gridCol w:w="677"/>
              <w:gridCol w:w="250"/>
              <w:gridCol w:w="250"/>
            </w:tblGrid>
            <w:tr w:rsidR="00EC65DC" w:rsidRPr="00EC65DC" w:rsidTr="002C7178">
              <w:tc>
                <w:tcPr>
                  <w:tcW w:w="2899" w:type="dxa"/>
                  <w:gridSpan w:val="4"/>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r w:rsidRPr="00EC65DC">
                    <w:rPr>
                      <w:rFonts w:ascii="Calibri" w:hAnsi="Calibri" w:cs="Calibri"/>
                      <w:b/>
                      <w:bCs/>
                      <w:color w:val="000000"/>
                      <w:sz w:val="22"/>
                      <w:szCs w:val="22"/>
                    </w:rPr>
                    <w:t>Y1 Phonics Screening</w:t>
                  </w:r>
                </w:p>
              </w:tc>
              <w:tc>
                <w:tcPr>
                  <w:tcW w:w="677" w:type="dxa"/>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c>
                <w:tcPr>
                  <w:tcW w:w="236" w:type="dxa"/>
                  <w:vMerge w:val="restart"/>
                  <w:tcBorders>
                    <w:left w:val="single" w:sz="4" w:space="0" w:color="000000"/>
                  </w:tcBorders>
                  <w:tcMar>
                    <w:top w:w="0" w:type="dxa"/>
                    <w:left w:w="115" w:type="dxa"/>
                    <w:bottom w:w="0" w:type="dxa"/>
                    <w:right w:w="115" w:type="dxa"/>
                  </w:tcMar>
                  <w:hideMark/>
                </w:tcPr>
                <w:p w:rsidR="00EC65DC" w:rsidRPr="00EC65DC" w:rsidRDefault="00EC65DC" w:rsidP="00EC65DC">
                  <w:pPr>
                    <w:suppressAutoHyphens w:val="0"/>
                    <w:autoSpaceDN/>
                    <w:spacing w:line="240" w:lineRule="auto"/>
                    <w:rPr>
                      <w:rFonts w:ascii="Times New Roman" w:hAnsi="Times New Roman"/>
                      <w:color w:val="auto"/>
                    </w:rPr>
                  </w:pPr>
                </w:p>
              </w:tc>
              <w:tc>
                <w:tcPr>
                  <w:tcW w:w="236" w:type="dxa"/>
                  <w:tcBorders>
                    <w:bottom w:val="single" w:sz="4" w:space="0" w:color="000000"/>
                  </w:tcBorders>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r>
            <w:tr w:rsidR="002C7178" w:rsidRPr="00EC65DC" w:rsidTr="002C7178">
              <w:trPr>
                <w:gridAfter w:val="1"/>
                <w:wAfter w:w="250" w:type="dxa"/>
              </w:trPr>
              <w:tc>
                <w:tcPr>
                  <w:tcW w:w="8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2018</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2019</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2021</w:t>
                  </w:r>
                </w:p>
              </w:tc>
              <w:tc>
                <w:tcPr>
                  <w:tcW w:w="236" w:type="dxa"/>
                  <w:vMerge/>
                  <w:tcBorders>
                    <w:left w:val="single" w:sz="4" w:space="0" w:color="000000"/>
                  </w:tcBorders>
                  <w:vAlign w:val="cente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rPr>
                <w:gridAfter w:val="1"/>
                <w:wAfter w:w="250" w:type="dxa"/>
              </w:trPr>
              <w:tc>
                <w:tcPr>
                  <w:tcW w:w="8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r w:rsidRPr="00EC65DC">
                    <w:rPr>
                      <w:rFonts w:ascii="Calibri" w:hAnsi="Calibri" w:cs="Calibri"/>
                      <w:color w:val="000000"/>
                      <w:sz w:val="22"/>
                      <w:szCs w:val="22"/>
                    </w:rPr>
                    <w:t>Overall</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78%</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81%</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78%</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bl>
          <w:p w:rsidR="00EC65DC" w:rsidRPr="00EC65DC" w:rsidRDefault="00EC65DC" w:rsidP="00EC65DC">
            <w:pPr>
              <w:suppressAutoHyphens w:val="0"/>
              <w:autoSpaceDN/>
              <w:spacing w:after="0" w:line="240" w:lineRule="auto"/>
              <w:rPr>
                <w:rFonts w:ascii="Times New Roman" w:hAnsi="Times New Roman"/>
                <w:color w:val="auto"/>
              </w:rPr>
            </w:pPr>
            <w:r w:rsidRPr="00EC65DC">
              <w:rPr>
                <w:rFonts w:ascii="Calibri" w:hAnsi="Calibri" w:cs="Calibri"/>
                <w:color w:val="000000"/>
                <w:sz w:val="22"/>
                <w:szCs w:val="22"/>
              </w:rPr>
              <w:t>Phonics screening </w:t>
            </w:r>
          </w:p>
          <w:p w:rsidR="00EC65DC" w:rsidRPr="00EC65DC" w:rsidRDefault="00EC65DC" w:rsidP="00EC65DC">
            <w:pPr>
              <w:suppressAutoHyphens w:val="0"/>
              <w:autoSpaceDN/>
              <w:spacing w:after="0" w:line="240" w:lineRule="auto"/>
              <w:rPr>
                <w:rFonts w:ascii="Times New Roman" w:hAnsi="Times New Roman"/>
                <w:color w:val="auto"/>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92"/>
              <w:gridCol w:w="677"/>
              <w:gridCol w:w="677"/>
              <w:gridCol w:w="677"/>
              <w:gridCol w:w="677"/>
              <w:gridCol w:w="250"/>
              <w:gridCol w:w="250"/>
            </w:tblGrid>
            <w:tr w:rsidR="00EC65DC" w:rsidRPr="00EC65DC" w:rsidTr="002C7178">
              <w:tc>
                <w:tcPr>
                  <w:tcW w:w="3423" w:type="dxa"/>
                  <w:gridSpan w:val="4"/>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r w:rsidRPr="00EC65DC">
                    <w:rPr>
                      <w:rFonts w:ascii="Calibri" w:hAnsi="Calibri" w:cs="Calibri"/>
                      <w:b/>
                      <w:bCs/>
                      <w:color w:val="000000"/>
                      <w:sz w:val="22"/>
                      <w:szCs w:val="22"/>
                    </w:rPr>
                    <w:t>End of KS1 (Y2)</w:t>
                  </w:r>
                </w:p>
              </w:tc>
              <w:tc>
                <w:tcPr>
                  <w:tcW w:w="677" w:type="dxa"/>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c>
                <w:tcPr>
                  <w:tcW w:w="236" w:type="dxa"/>
                  <w:vMerge w:val="restart"/>
                  <w:tcBorders>
                    <w:left w:val="single" w:sz="4" w:space="0" w:color="000000"/>
                  </w:tcBorders>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c>
                <w:tcPr>
                  <w:tcW w:w="236" w:type="dxa"/>
                  <w:tcBorders>
                    <w:bottom w:val="single" w:sz="4" w:space="0" w:color="000000"/>
                  </w:tcBorders>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r>
            <w:tr w:rsidR="002C7178" w:rsidRPr="00EC65DC" w:rsidTr="002C7178">
              <w:trPr>
                <w:gridAfter w:val="1"/>
                <w:wAfter w:w="250" w:type="dxa"/>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2018</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2019</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shd w:val="clear" w:color="auto" w:fill="FFFF00"/>
                    </w:rPr>
                    <w:t>2021</w:t>
                  </w:r>
                </w:p>
              </w:tc>
              <w:tc>
                <w:tcPr>
                  <w:tcW w:w="236" w:type="dxa"/>
                  <w:vMerge/>
                  <w:tcBorders>
                    <w:left w:val="single" w:sz="4" w:space="0" w:color="000000"/>
                  </w:tcBorders>
                  <w:vAlign w:val="cente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rPr>
                <w:gridAfter w:val="1"/>
                <w:wAfter w:w="250" w:type="dxa"/>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Reading</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71%</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63%</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67%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51%</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rPr>
                <w:gridAfter w:val="1"/>
                <w:wAfter w:w="250" w:type="dxa"/>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Writing</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67%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63%</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56%</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41%</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rPr>
                <w:gridAfter w:val="1"/>
                <w:wAfter w:w="250" w:type="dxa"/>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Maths</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72%</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69%</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67%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60%</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rPr>
                <w:gridAfter w:val="1"/>
                <w:wAfter w:w="250" w:type="dxa"/>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Comb(RWM)</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62%</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61%</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49%</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37%</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bl>
          <w:p w:rsidR="00EC65DC" w:rsidRPr="00EC65DC" w:rsidRDefault="00EC65DC" w:rsidP="00EC65DC">
            <w:pPr>
              <w:suppressAutoHyphens w:val="0"/>
              <w:autoSpaceDN/>
              <w:spacing w:line="240" w:lineRule="auto"/>
              <w:rPr>
                <w:rFonts w:ascii="Times New Roman" w:hAnsi="Times New Roman"/>
                <w:color w:val="auto"/>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92"/>
              <w:gridCol w:w="677"/>
              <w:gridCol w:w="677"/>
              <w:gridCol w:w="677"/>
              <w:gridCol w:w="677"/>
              <w:gridCol w:w="250"/>
            </w:tblGrid>
            <w:tr w:rsidR="00EC65DC" w:rsidRPr="00EC65DC" w:rsidTr="002C7178">
              <w:tc>
                <w:tcPr>
                  <w:tcW w:w="3423"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r w:rsidRPr="00EC65DC">
                    <w:rPr>
                      <w:rFonts w:ascii="Calibri" w:hAnsi="Calibri" w:cs="Calibri"/>
                      <w:b/>
                      <w:bCs/>
                      <w:color w:val="000000"/>
                      <w:sz w:val="22"/>
                      <w:szCs w:val="22"/>
                    </w:rPr>
                    <w:t>End of KS2 (Y6)</w:t>
                  </w:r>
                </w:p>
              </w:tc>
              <w:tc>
                <w:tcPr>
                  <w:tcW w:w="677"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c>
                <w:tcPr>
                  <w:tcW w:w="236" w:type="dxa"/>
                  <w:tcBorders>
                    <w:left w:val="single" w:sz="4" w:space="0" w:color="000000"/>
                    <w:right w:val="single" w:sz="4" w:space="0" w:color="000000"/>
                  </w:tcBorders>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r>
            <w:tr w:rsidR="002C7178" w:rsidRPr="00EC65DC" w:rsidTr="002C7178">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2018</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2019</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shd w:val="clear" w:color="auto" w:fill="FFFF00"/>
                    </w:rPr>
                    <w:t>2021</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Reading</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88%</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67%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59%</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Writing</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83%</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88%</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81%</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45%</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Maths</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92%</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90%</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71%</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51%</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rPr>
                <w:trHeight w:val="70"/>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SPaG</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88%</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89%</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67%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58%</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Comb(RWM)</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78%</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81%</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57%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39%</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bl>
          <w:p w:rsidR="00EC65DC" w:rsidRPr="00EC65DC" w:rsidRDefault="00EC65DC" w:rsidP="00EC65DC">
            <w:pPr>
              <w:suppressAutoHyphens w:val="0"/>
              <w:autoSpaceDN/>
              <w:spacing w:line="240" w:lineRule="auto"/>
              <w:rPr>
                <w:rFonts w:ascii="Times New Roman" w:hAnsi="Times New Roman"/>
                <w:color w:val="auto"/>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92"/>
              <w:gridCol w:w="677"/>
              <w:gridCol w:w="677"/>
              <w:gridCol w:w="677"/>
              <w:gridCol w:w="677"/>
              <w:gridCol w:w="250"/>
            </w:tblGrid>
            <w:tr w:rsidR="00EC65DC" w:rsidRPr="00EC65DC" w:rsidTr="002C7178">
              <w:tc>
                <w:tcPr>
                  <w:tcW w:w="3423" w:type="dxa"/>
                  <w:gridSpan w:val="4"/>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r w:rsidRPr="00EC65DC">
                    <w:rPr>
                      <w:rFonts w:ascii="Calibri" w:hAnsi="Calibri" w:cs="Calibri"/>
                      <w:b/>
                      <w:bCs/>
                      <w:color w:val="000000"/>
                      <w:sz w:val="22"/>
                      <w:szCs w:val="22"/>
                    </w:rPr>
                    <w:t>End of KS2 GD (Y6)</w:t>
                  </w:r>
                </w:p>
              </w:tc>
              <w:tc>
                <w:tcPr>
                  <w:tcW w:w="677" w:type="dxa"/>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c>
                <w:tcPr>
                  <w:tcW w:w="236" w:type="dxa"/>
                  <w:tcBorders>
                    <w:left w:val="single" w:sz="4" w:space="0" w:color="000000"/>
                    <w:right w:val="single" w:sz="4" w:space="0" w:color="000000"/>
                  </w:tcBorders>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r>
            <w:tr w:rsidR="002C7178" w:rsidRPr="00EC65DC" w:rsidTr="002C7178">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2018</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2019</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shd w:val="clear" w:color="auto" w:fill="FFFF00"/>
                    </w:rPr>
                    <w:t>2021</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Reading</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37%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37%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25%</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10%</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Writing</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32%</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32%</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9%</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6%</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Maths</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37%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37%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16%</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10%</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SPaG</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30%</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30%</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22%</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24%</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Comb(RWM)</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10%</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12%</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6%</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3%</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bl>
          <w:p w:rsidR="00EC65DC" w:rsidRPr="00EC65DC" w:rsidRDefault="00EC65DC" w:rsidP="00EC65DC">
            <w:pPr>
              <w:suppressAutoHyphens w:val="0"/>
              <w:autoSpaceDN/>
              <w:spacing w:line="240" w:lineRule="auto"/>
              <w:rPr>
                <w:rFonts w:ascii="Times New Roman" w:hAnsi="Times New Roman"/>
                <w:color w:val="auto"/>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92"/>
              <w:gridCol w:w="677"/>
              <w:gridCol w:w="677"/>
              <w:gridCol w:w="677"/>
              <w:gridCol w:w="677"/>
              <w:gridCol w:w="250"/>
              <w:gridCol w:w="250"/>
            </w:tblGrid>
            <w:tr w:rsidR="00EC65DC" w:rsidRPr="00EC65DC" w:rsidTr="002C7178">
              <w:tc>
                <w:tcPr>
                  <w:tcW w:w="3423" w:type="dxa"/>
                  <w:gridSpan w:val="4"/>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r w:rsidRPr="00EC65DC">
                    <w:rPr>
                      <w:rFonts w:ascii="Calibri" w:hAnsi="Calibri" w:cs="Calibri"/>
                      <w:b/>
                      <w:bCs/>
                      <w:color w:val="000000"/>
                      <w:sz w:val="22"/>
                      <w:szCs w:val="22"/>
                    </w:rPr>
                    <w:t>End of KS2 Disadvantaged (Y6)</w:t>
                  </w:r>
                </w:p>
              </w:tc>
              <w:tc>
                <w:tcPr>
                  <w:tcW w:w="677" w:type="dxa"/>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c>
                <w:tcPr>
                  <w:tcW w:w="236" w:type="dxa"/>
                  <w:vMerge w:val="restart"/>
                  <w:tcBorders>
                    <w:left w:val="single" w:sz="4" w:space="0" w:color="000000"/>
                  </w:tcBorders>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c>
                <w:tcPr>
                  <w:tcW w:w="236" w:type="dxa"/>
                  <w:tcBorders>
                    <w:bottom w:val="single" w:sz="4" w:space="0" w:color="000000"/>
                  </w:tcBorders>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r>
            <w:tr w:rsidR="002C7178" w:rsidRPr="00EC65DC" w:rsidTr="002C7178">
              <w:trPr>
                <w:gridAfter w:val="1"/>
                <w:wAfter w:w="250" w:type="dxa"/>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2018</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rPr>
                    <w:t>2019</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b/>
                      <w:bCs/>
                      <w:color w:val="000000"/>
                      <w:sz w:val="22"/>
                      <w:szCs w:val="22"/>
                      <w:shd w:val="clear" w:color="auto" w:fill="FFFF00"/>
                    </w:rPr>
                    <w:t>2021</w:t>
                  </w:r>
                </w:p>
              </w:tc>
              <w:tc>
                <w:tcPr>
                  <w:tcW w:w="236" w:type="dxa"/>
                  <w:vMerge/>
                  <w:tcBorders>
                    <w:left w:val="single" w:sz="4" w:space="0" w:color="000000"/>
                  </w:tcBorders>
                  <w:vAlign w:val="cente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rPr>
                <w:gridAfter w:val="1"/>
                <w:wAfter w:w="250" w:type="dxa"/>
                <w:trHeight w:val="236"/>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Reading</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75%</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89%</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54%</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38%</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rPr>
                <w:gridAfter w:val="1"/>
                <w:wAfter w:w="250" w:type="dxa"/>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Writing</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75%</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66%</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21%</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rPr>
                <w:gridAfter w:val="1"/>
                <w:wAfter w:w="250" w:type="dxa"/>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Maths</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83%</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89%</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49%</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31%</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rPr>
                <w:gridAfter w:val="1"/>
                <w:wAfter w:w="250" w:type="dxa"/>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SPaG</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81%</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87%</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49%</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45%</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r w:rsidR="002C7178" w:rsidRPr="00EC65DC" w:rsidTr="002C7178">
              <w:trPr>
                <w:gridAfter w:val="1"/>
                <w:wAfter w:w="250" w:type="dxa"/>
              </w:trPr>
              <w:tc>
                <w:tcPr>
                  <w:tcW w:w="1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Comb(RWM)</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83%</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83%</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rPr>
                    <w:t>41%</w:t>
                  </w:r>
                </w:p>
              </w:tc>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C7178" w:rsidRPr="00EC65DC" w:rsidRDefault="002C7178" w:rsidP="00EC65DC">
                  <w:pPr>
                    <w:suppressAutoHyphens w:val="0"/>
                    <w:autoSpaceDN/>
                    <w:spacing w:after="0" w:line="240" w:lineRule="auto"/>
                    <w:jc w:val="center"/>
                    <w:rPr>
                      <w:rFonts w:ascii="Times New Roman" w:hAnsi="Times New Roman"/>
                      <w:color w:val="auto"/>
                    </w:rPr>
                  </w:pPr>
                  <w:r w:rsidRPr="00EC65DC">
                    <w:rPr>
                      <w:rFonts w:cs="Arial"/>
                      <w:color w:val="000000"/>
                      <w:sz w:val="22"/>
                      <w:szCs w:val="22"/>
                      <w:shd w:val="clear" w:color="auto" w:fill="FFFF00"/>
                    </w:rPr>
                    <w:t>17%</w:t>
                  </w:r>
                </w:p>
              </w:tc>
              <w:tc>
                <w:tcPr>
                  <w:tcW w:w="236" w:type="dxa"/>
                  <w:tcBorders>
                    <w:left w:val="single" w:sz="4" w:space="0" w:color="000000"/>
                    <w:right w:val="single" w:sz="4" w:space="0" w:color="000000"/>
                  </w:tcBorders>
                  <w:tcMar>
                    <w:top w:w="0" w:type="dxa"/>
                    <w:left w:w="115" w:type="dxa"/>
                    <w:bottom w:w="0" w:type="dxa"/>
                    <w:right w:w="115" w:type="dxa"/>
                  </w:tcMar>
                  <w:hideMark/>
                </w:tcPr>
                <w:p w:rsidR="002C7178" w:rsidRPr="00EC65DC" w:rsidRDefault="002C7178" w:rsidP="00EC65DC">
                  <w:pPr>
                    <w:suppressAutoHyphens w:val="0"/>
                    <w:autoSpaceDN/>
                    <w:spacing w:after="0" w:line="240" w:lineRule="auto"/>
                    <w:rPr>
                      <w:rFonts w:ascii="Times New Roman" w:hAnsi="Times New Roman"/>
                      <w:color w:val="auto"/>
                    </w:rPr>
                  </w:pPr>
                </w:p>
              </w:tc>
            </w:tr>
          </w:tbl>
          <w:p w:rsidR="00EC65DC" w:rsidRPr="00EC65DC" w:rsidRDefault="00EC65DC" w:rsidP="00EC65DC">
            <w:pPr>
              <w:suppressAutoHyphens w:val="0"/>
              <w:autoSpaceDN/>
              <w:spacing w:line="240" w:lineRule="auto"/>
              <w:rPr>
                <w:rFonts w:ascii="Times New Roman" w:hAnsi="Times New Roman"/>
                <w:color w:val="auto"/>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0"/>
              <w:gridCol w:w="1065"/>
              <w:gridCol w:w="1315"/>
              <w:gridCol w:w="1209"/>
              <w:gridCol w:w="1478"/>
              <w:gridCol w:w="1209"/>
              <w:gridCol w:w="1478"/>
              <w:gridCol w:w="1209"/>
              <w:gridCol w:w="1281"/>
            </w:tblGrid>
            <w:tr w:rsidR="00EC65DC" w:rsidRPr="00EC65DC" w:rsidTr="002C7178">
              <w:tc>
                <w:tcPr>
                  <w:tcW w:w="8704" w:type="dxa"/>
                  <w:gridSpan w:val="7"/>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r w:rsidRPr="00EC65DC">
                    <w:rPr>
                      <w:rFonts w:ascii="Calibri" w:hAnsi="Calibri" w:cs="Calibri"/>
                      <w:b/>
                      <w:bCs/>
                      <w:color w:val="000000"/>
                      <w:sz w:val="22"/>
                      <w:szCs w:val="22"/>
                    </w:rPr>
                    <w:t>Y6 Progress</w:t>
                  </w:r>
                </w:p>
              </w:tc>
              <w:tc>
                <w:tcPr>
                  <w:tcW w:w="1209" w:type="dxa"/>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c>
                <w:tcPr>
                  <w:tcW w:w="1281" w:type="dxa"/>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EC65DC" w:rsidRDefault="00EC65DC" w:rsidP="00EC65DC">
                  <w:pPr>
                    <w:suppressAutoHyphens w:val="0"/>
                    <w:autoSpaceDN/>
                    <w:spacing w:after="0" w:line="240" w:lineRule="auto"/>
                    <w:rPr>
                      <w:rFonts w:ascii="Times New Roman" w:hAnsi="Times New Roman"/>
                      <w:color w:val="auto"/>
                    </w:rPr>
                  </w:pPr>
                </w:p>
              </w:tc>
            </w:tr>
            <w:tr w:rsidR="00EC65DC" w:rsidRPr="002C7178" w:rsidTr="002C7178">
              <w:tc>
                <w:tcPr>
                  <w:tcW w:w="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ascii="Calibri" w:hAnsi="Calibri" w:cs="Calibri"/>
                      <w:b/>
                      <w:bCs/>
                      <w:color w:val="000000"/>
                      <w:sz w:val="22"/>
                      <w:szCs w:val="22"/>
                    </w:rPr>
                    <w:t>2018</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ascii="Calibri" w:hAnsi="Calibri" w:cs="Calibri"/>
                      <w:b/>
                      <w:bCs/>
                      <w:color w:val="000000"/>
                      <w:sz w:val="22"/>
                      <w:szCs w:val="22"/>
                    </w:rPr>
                    <w:t>Expected</w:t>
                  </w:r>
                </w:p>
              </w:tc>
              <w:tc>
                <w:tcPr>
                  <w:tcW w:w="1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ascii="Calibri" w:hAnsi="Calibri" w:cs="Calibri"/>
                      <w:b/>
                      <w:bCs/>
                      <w:color w:val="000000"/>
                      <w:sz w:val="22"/>
                      <w:szCs w:val="22"/>
                    </w:rPr>
                    <w:t>2018</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ascii="Calibri" w:hAnsi="Calibri" w:cs="Calibri"/>
                      <w:b/>
                      <w:bCs/>
                      <w:color w:val="000000"/>
                      <w:sz w:val="22"/>
                      <w:szCs w:val="22"/>
                    </w:rPr>
                    <w:t>Accelerated</w:t>
                  </w: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rPr>
                    <w:t>2019</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rPr>
                    <w:t>Expected</w:t>
                  </w:r>
                </w:p>
              </w:tc>
              <w:tc>
                <w:tcPr>
                  <w:tcW w:w="14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rPr>
                    <w:t>2019</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rPr>
                    <w:t>Accelerated</w:t>
                  </w: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rPr>
                    <w:t>2020</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rPr>
                    <w:t>Expected</w:t>
                  </w:r>
                </w:p>
              </w:tc>
              <w:tc>
                <w:tcPr>
                  <w:tcW w:w="14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rPr>
                    <w:t>2020</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rPr>
                    <w:t>Accelerated</w:t>
                  </w: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shd w:val="clear" w:color="auto" w:fill="FFFF00"/>
                    </w:rPr>
                    <w:t>2021</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shd w:val="clear" w:color="auto" w:fill="FFFF00"/>
                    </w:rPr>
                    <w:t>Expected</w:t>
                  </w:r>
                </w:p>
              </w:tc>
              <w:tc>
                <w:tcPr>
                  <w:tcW w:w="1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shd w:val="clear" w:color="auto" w:fill="FFFF00"/>
                    </w:rPr>
                    <w:t>2021</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shd w:val="clear" w:color="auto" w:fill="FFFF00"/>
                    </w:rPr>
                    <w:t>Accelerated</w:t>
                  </w:r>
                </w:p>
              </w:tc>
            </w:tr>
            <w:tr w:rsidR="00EC65DC" w:rsidRPr="002C7178" w:rsidTr="002C7178">
              <w:tc>
                <w:tcPr>
                  <w:tcW w:w="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ascii="Calibri" w:hAnsi="Calibri" w:cs="Calibri"/>
                      <w:color w:val="000000"/>
                      <w:sz w:val="22"/>
                      <w:szCs w:val="22"/>
                    </w:rPr>
                    <w:t>Reading</w:t>
                  </w:r>
                </w:p>
              </w:tc>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2"/>
                      <w:szCs w:val="22"/>
                    </w:rPr>
                    <w:t>+15%</w:t>
                  </w:r>
                </w:p>
              </w:tc>
              <w:tc>
                <w:tcPr>
                  <w:tcW w:w="1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rPr>
                      <w:rFonts w:ascii="Times New Roman" w:hAnsi="Times New Roman"/>
                      <w:color w:val="auto"/>
                    </w:rPr>
                  </w:pP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2"/>
                      <w:szCs w:val="22"/>
                    </w:rPr>
                    <w:t>78%</w:t>
                  </w:r>
                </w:p>
              </w:tc>
              <w:tc>
                <w:tcPr>
                  <w:tcW w:w="14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2"/>
                      <w:szCs w:val="22"/>
                    </w:rPr>
                    <w:t>11%</w:t>
                  </w: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2"/>
                      <w:szCs w:val="22"/>
                    </w:rPr>
                    <w:t>59%</w:t>
                  </w:r>
                </w:p>
              </w:tc>
              <w:tc>
                <w:tcPr>
                  <w:tcW w:w="14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2"/>
                      <w:szCs w:val="22"/>
                    </w:rPr>
                    <w:t>13%</w:t>
                  </w: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0"/>
                      <w:szCs w:val="20"/>
                      <w:shd w:val="clear" w:color="auto" w:fill="FFFF00"/>
                    </w:rPr>
                    <w:t>53%</w:t>
                  </w:r>
                </w:p>
              </w:tc>
              <w:tc>
                <w:tcPr>
                  <w:tcW w:w="1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0"/>
                      <w:szCs w:val="20"/>
                      <w:shd w:val="clear" w:color="auto" w:fill="FFFF00"/>
                    </w:rPr>
                    <w:t>8%</w:t>
                  </w:r>
                </w:p>
              </w:tc>
            </w:tr>
            <w:tr w:rsidR="00EC65DC" w:rsidRPr="002C7178" w:rsidTr="002C7178">
              <w:tc>
                <w:tcPr>
                  <w:tcW w:w="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ascii="Calibri" w:hAnsi="Calibri" w:cs="Calibri"/>
                      <w:color w:val="000000"/>
                      <w:sz w:val="22"/>
                      <w:szCs w:val="22"/>
                    </w:rPr>
                    <w:t>Writing</w:t>
                  </w:r>
                </w:p>
              </w:tc>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2"/>
                      <w:szCs w:val="22"/>
                    </w:rPr>
                    <w:t>+11%</w:t>
                  </w:r>
                </w:p>
              </w:tc>
              <w:tc>
                <w:tcPr>
                  <w:tcW w:w="1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rPr>
                      <w:rFonts w:ascii="Times New Roman" w:hAnsi="Times New Roman"/>
                      <w:color w:val="auto"/>
                    </w:rPr>
                  </w:pP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2"/>
                      <w:szCs w:val="22"/>
                    </w:rPr>
                    <w:t>74%</w:t>
                  </w:r>
                </w:p>
              </w:tc>
              <w:tc>
                <w:tcPr>
                  <w:tcW w:w="14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2"/>
                      <w:szCs w:val="22"/>
                    </w:rPr>
                    <w:t>11%</w:t>
                  </w: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2"/>
                      <w:szCs w:val="22"/>
                    </w:rPr>
                    <w:t>43%</w:t>
                  </w:r>
                </w:p>
              </w:tc>
              <w:tc>
                <w:tcPr>
                  <w:tcW w:w="14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2"/>
                      <w:szCs w:val="22"/>
                    </w:rPr>
                    <w:t>11%</w:t>
                  </w: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0"/>
                      <w:szCs w:val="20"/>
                      <w:shd w:val="clear" w:color="auto" w:fill="FFFF00"/>
                    </w:rPr>
                    <w:t>36%</w:t>
                  </w:r>
                </w:p>
              </w:tc>
              <w:tc>
                <w:tcPr>
                  <w:tcW w:w="1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0"/>
                      <w:szCs w:val="20"/>
                      <w:shd w:val="clear" w:color="auto" w:fill="FFFF00"/>
                    </w:rPr>
                    <w:t>5%</w:t>
                  </w:r>
                </w:p>
              </w:tc>
            </w:tr>
            <w:tr w:rsidR="00EC65DC" w:rsidRPr="002C7178" w:rsidTr="002C7178">
              <w:tc>
                <w:tcPr>
                  <w:tcW w:w="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ascii="Calibri" w:hAnsi="Calibri" w:cs="Calibri"/>
                      <w:color w:val="000000"/>
                      <w:sz w:val="22"/>
                      <w:szCs w:val="22"/>
                    </w:rPr>
                    <w:t>Maths</w:t>
                  </w:r>
                </w:p>
              </w:tc>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2"/>
                      <w:szCs w:val="22"/>
                    </w:rPr>
                    <w:t>+18%</w:t>
                  </w:r>
                </w:p>
              </w:tc>
              <w:tc>
                <w:tcPr>
                  <w:tcW w:w="1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rPr>
                      <w:rFonts w:ascii="Times New Roman" w:hAnsi="Times New Roman"/>
                      <w:color w:val="auto"/>
                    </w:rPr>
                  </w:pP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2"/>
                      <w:szCs w:val="22"/>
                    </w:rPr>
                    <w:t>54%</w:t>
                  </w:r>
                </w:p>
              </w:tc>
              <w:tc>
                <w:tcPr>
                  <w:tcW w:w="14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2"/>
                      <w:szCs w:val="22"/>
                    </w:rPr>
                    <w:t>7%</w:t>
                  </w: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2"/>
                      <w:szCs w:val="22"/>
                    </w:rPr>
                    <w:t>51%</w:t>
                  </w:r>
                </w:p>
              </w:tc>
              <w:tc>
                <w:tcPr>
                  <w:tcW w:w="14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2"/>
                      <w:szCs w:val="22"/>
                    </w:rPr>
                    <w:t>5%</w:t>
                  </w: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0"/>
                      <w:szCs w:val="20"/>
                      <w:shd w:val="clear" w:color="auto" w:fill="FFFF00"/>
                    </w:rPr>
                    <w:t>33%</w:t>
                  </w:r>
                </w:p>
              </w:tc>
              <w:tc>
                <w:tcPr>
                  <w:tcW w:w="12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color w:val="000000"/>
                      <w:sz w:val="20"/>
                      <w:szCs w:val="20"/>
                      <w:shd w:val="clear" w:color="auto" w:fill="FFFF00"/>
                    </w:rPr>
                    <w:t>4%</w:t>
                  </w:r>
                </w:p>
              </w:tc>
            </w:tr>
          </w:tbl>
          <w:p w:rsidR="00EC65DC" w:rsidRPr="002C7178" w:rsidRDefault="00EC65DC" w:rsidP="002C7178">
            <w:pPr>
              <w:suppressAutoHyphens w:val="0"/>
              <w:autoSpaceDN/>
              <w:spacing w:after="0" w:line="240" w:lineRule="auto"/>
              <w:rPr>
                <w:rFonts w:ascii="Times New Roman" w:hAnsi="Times New Roman"/>
                <w:color w:val="auto"/>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0"/>
              <w:gridCol w:w="1065"/>
              <w:gridCol w:w="1315"/>
              <w:gridCol w:w="1065"/>
              <w:gridCol w:w="1315"/>
              <w:gridCol w:w="1209"/>
              <w:gridCol w:w="1478"/>
              <w:gridCol w:w="1209"/>
              <w:gridCol w:w="1478"/>
            </w:tblGrid>
            <w:tr w:rsidR="00EC65DC" w:rsidRPr="002C7178" w:rsidTr="002C7178">
              <w:tc>
                <w:tcPr>
                  <w:tcW w:w="8397" w:type="dxa"/>
                  <w:gridSpan w:val="7"/>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2C7178" w:rsidRDefault="00EC65DC" w:rsidP="002C7178">
                  <w:pPr>
                    <w:suppressAutoHyphens w:val="0"/>
                    <w:autoSpaceDN/>
                    <w:spacing w:after="0" w:line="240" w:lineRule="auto"/>
                    <w:rPr>
                      <w:rFonts w:ascii="Times New Roman" w:hAnsi="Times New Roman"/>
                      <w:color w:val="auto"/>
                    </w:rPr>
                  </w:pPr>
                  <w:r w:rsidRPr="002C7178">
                    <w:rPr>
                      <w:rFonts w:ascii="Calibri" w:hAnsi="Calibri" w:cs="Calibri"/>
                      <w:b/>
                      <w:bCs/>
                      <w:color w:val="000000"/>
                      <w:sz w:val="22"/>
                      <w:szCs w:val="22"/>
                    </w:rPr>
                    <w:t>Y6 Disadvantaged Progress</w:t>
                  </w:r>
                </w:p>
              </w:tc>
              <w:tc>
                <w:tcPr>
                  <w:tcW w:w="1209" w:type="dxa"/>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2C7178" w:rsidRDefault="00EC65DC" w:rsidP="002C7178">
                  <w:pPr>
                    <w:suppressAutoHyphens w:val="0"/>
                    <w:autoSpaceDN/>
                    <w:spacing w:after="0" w:line="240" w:lineRule="auto"/>
                    <w:rPr>
                      <w:rFonts w:ascii="Times New Roman" w:hAnsi="Times New Roman"/>
                      <w:color w:val="auto"/>
                    </w:rPr>
                  </w:pPr>
                </w:p>
              </w:tc>
              <w:tc>
                <w:tcPr>
                  <w:tcW w:w="1478" w:type="dxa"/>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EC65DC" w:rsidRPr="002C7178" w:rsidRDefault="00EC65DC" w:rsidP="002C7178">
                  <w:pPr>
                    <w:suppressAutoHyphens w:val="0"/>
                    <w:autoSpaceDN/>
                    <w:spacing w:after="0" w:line="240" w:lineRule="auto"/>
                    <w:rPr>
                      <w:rFonts w:ascii="Times New Roman" w:hAnsi="Times New Roman"/>
                      <w:color w:val="auto"/>
                    </w:rPr>
                  </w:pPr>
                </w:p>
              </w:tc>
            </w:tr>
            <w:tr w:rsidR="00EC65DC" w:rsidRPr="00EC65DC" w:rsidTr="002C7178">
              <w:tc>
                <w:tcPr>
                  <w:tcW w:w="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rPr>
                      <w:rFonts w:ascii="Times New Roman" w:hAnsi="Times New Roman"/>
                      <w:color w:val="auto"/>
                    </w:rPr>
                  </w:pPr>
                </w:p>
              </w:tc>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ascii="Calibri" w:hAnsi="Calibri" w:cs="Calibri"/>
                      <w:b/>
                      <w:bCs/>
                      <w:color w:val="000000"/>
                      <w:sz w:val="22"/>
                      <w:szCs w:val="22"/>
                    </w:rPr>
                    <w:t>2018</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ascii="Calibri" w:hAnsi="Calibri" w:cs="Calibri"/>
                      <w:b/>
                      <w:bCs/>
                      <w:color w:val="000000"/>
                      <w:sz w:val="22"/>
                      <w:szCs w:val="22"/>
                    </w:rPr>
                    <w:t>Expected</w:t>
                  </w:r>
                </w:p>
              </w:tc>
              <w:tc>
                <w:tcPr>
                  <w:tcW w:w="1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ascii="Calibri" w:hAnsi="Calibri" w:cs="Calibri"/>
                      <w:b/>
                      <w:bCs/>
                      <w:color w:val="000000"/>
                      <w:sz w:val="22"/>
                      <w:szCs w:val="22"/>
                    </w:rPr>
                    <w:t>2018</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ascii="Calibri" w:hAnsi="Calibri" w:cs="Calibri"/>
                      <w:b/>
                      <w:bCs/>
                      <w:color w:val="000000"/>
                      <w:sz w:val="22"/>
                      <w:szCs w:val="22"/>
                    </w:rPr>
                    <w:t>Accelerated</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ascii="Calibri" w:hAnsi="Calibri" w:cs="Calibri"/>
                      <w:b/>
                      <w:bCs/>
                      <w:color w:val="000000"/>
                      <w:sz w:val="22"/>
                      <w:szCs w:val="22"/>
                    </w:rPr>
                    <w:t>2019</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ascii="Calibri" w:hAnsi="Calibri" w:cs="Calibri"/>
                      <w:b/>
                      <w:bCs/>
                      <w:color w:val="000000"/>
                      <w:sz w:val="22"/>
                      <w:szCs w:val="22"/>
                    </w:rPr>
                    <w:t>Expected</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ascii="Calibri" w:hAnsi="Calibri" w:cs="Calibri"/>
                      <w:b/>
                      <w:bCs/>
                      <w:color w:val="000000"/>
                      <w:sz w:val="22"/>
                      <w:szCs w:val="22"/>
                    </w:rPr>
                    <w:t>2019</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ascii="Calibri" w:hAnsi="Calibri" w:cs="Calibri"/>
                      <w:b/>
                      <w:bCs/>
                      <w:color w:val="000000"/>
                      <w:sz w:val="22"/>
                      <w:szCs w:val="22"/>
                    </w:rPr>
                    <w:t>Accelerated</w:t>
                  </w: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rPr>
                    <w:t>2020</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rPr>
                    <w:t>Expected</w:t>
                  </w:r>
                </w:p>
              </w:tc>
              <w:tc>
                <w:tcPr>
                  <w:tcW w:w="14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rPr>
                    <w:t>2020</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rPr>
                    <w:t>Accelerated</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shd w:val="clear" w:color="auto" w:fill="FFFF00"/>
                    </w:rPr>
                    <w:t>2021</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shd w:val="clear" w:color="auto" w:fill="FFFF00"/>
                    </w:rPr>
                    <w:t>Expected</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shd w:val="clear" w:color="auto" w:fill="FFFF00"/>
                    </w:rPr>
                    <w:t>2021</w:t>
                  </w:r>
                </w:p>
                <w:p w:rsidR="00EC65DC" w:rsidRPr="002C7178" w:rsidRDefault="00EC65DC" w:rsidP="002C7178">
                  <w:pPr>
                    <w:suppressAutoHyphens w:val="0"/>
                    <w:autoSpaceDN/>
                    <w:spacing w:after="0" w:line="240" w:lineRule="auto"/>
                    <w:jc w:val="center"/>
                    <w:rPr>
                      <w:rFonts w:ascii="Times New Roman" w:hAnsi="Times New Roman"/>
                      <w:color w:val="auto"/>
                    </w:rPr>
                  </w:pPr>
                  <w:r w:rsidRPr="002C7178">
                    <w:rPr>
                      <w:rFonts w:cs="Arial"/>
                      <w:b/>
                      <w:bCs/>
                      <w:color w:val="000000"/>
                      <w:sz w:val="22"/>
                      <w:szCs w:val="22"/>
                      <w:shd w:val="clear" w:color="auto" w:fill="FFFF00"/>
                    </w:rPr>
                    <w:t>Accelerated</w:t>
                  </w:r>
                </w:p>
              </w:tc>
            </w:tr>
            <w:tr w:rsidR="00EC65DC" w:rsidRPr="00EC65DC" w:rsidTr="002C7178">
              <w:tc>
                <w:tcPr>
                  <w:tcW w:w="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Reading</w:t>
                  </w:r>
                </w:p>
              </w:tc>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jc w:val="center"/>
                    <w:rPr>
                      <w:rFonts w:ascii="Times New Roman" w:hAnsi="Times New Roman"/>
                      <w:color w:val="auto"/>
                    </w:rPr>
                  </w:pPr>
                  <w:r w:rsidRPr="00EC65DC">
                    <w:rPr>
                      <w:rFonts w:cs="Arial"/>
                      <w:color w:val="000000"/>
                      <w:sz w:val="22"/>
                      <w:szCs w:val="22"/>
                    </w:rPr>
                    <w:t>+21%</w:t>
                  </w:r>
                </w:p>
              </w:tc>
              <w:tc>
                <w:tcPr>
                  <w:tcW w:w="1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jc w:val="center"/>
                    <w:rPr>
                      <w:rFonts w:ascii="Times New Roman" w:hAnsi="Times New Roman"/>
                      <w:color w:val="auto"/>
                    </w:rPr>
                  </w:pPr>
                  <w:r w:rsidRPr="00EC65DC">
                    <w:rPr>
                      <w:rFonts w:cs="Arial"/>
                      <w:color w:val="000000"/>
                      <w:sz w:val="22"/>
                      <w:szCs w:val="22"/>
                    </w:rPr>
                    <w:t>-2%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65DC" w:rsidRPr="00EC65DC" w:rsidRDefault="00EC65DC" w:rsidP="002C7178">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48%</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r>
            <w:tr w:rsidR="00EC65DC" w:rsidRPr="00EC65DC" w:rsidTr="002C7178">
              <w:tc>
                <w:tcPr>
                  <w:tcW w:w="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Writing</w:t>
                  </w:r>
                </w:p>
              </w:tc>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jc w:val="center"/>
                    <w:rPr>
                      <w:rFonts w:ascii="Times New Roman" w:hAnsi="Times New Roman"/>
                      <w:color w:val="auto"/>
                    </w:rPr>
                  </w:pPr>
                  <w:r w:rsidRPr="00EC65DC">
                    <w:rPr>
                      <w:rFonts w:cs="Arial"/>
                      <w:color w:val="000000"/>
                      <w:sz w:val="22"/>
                      <w:szCs w:val="22"/>
                    </w:rPr>
                    <w:t>+17%</w:t>
                  </w:r>
                </w:p>
              </w:tc>
              <w:tc>
                <w:tcPr>
                  <w:tcW w:w="1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jc w:val="center"/>
                    <w:rPr>
                      <w:rFonts w:ascii="Times New Roman" w:hAnsi="Times New Roman"/>
                      <w:color w:val="auto"/>
                    </w:rPr>
                  </w:pPr>
                  <w:r w:rsidRPr="00EC65DC">
                    <w:rPr>
                      <w:rFonts w:cs="Arial"/>
                      <w:color w:val="000000"/>
                      <w:sz w:val="22"/>
                      <w:szCs w:val="22"/>
                    </w:rPr>
                    <w:t>+1%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65DC" w:rsidRPr="00EC65DC" w:rsidRDefault="00EC65DC" w:rsidP="002C7178">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22%</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r>
            <w:tr w:rsidR="00EC65DC" w:rsidRPr="00EC65DC" w:rsidTr="002C7178">
              <w:tc>
                <w:tcPr>
                  <w:tcW w:w="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Maths</w:t>
                  </w:r>
                </w:p>
              </w:tc>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jc w:val="center"/>
                    <w:rPr>
                      <w:rFonts w:ascii="Times New Roman" w:hAnsi="Times New Roman"/>
                      <w:color w:val="auto"/>
                    </w:rPr>
                  </w:pPr>
                  <w:r w:rsidRPr="00EC65DC">
                    <w:rPr>
                      <w:rFonts w:cs="Arial"/>
                      <w:color w:val="000000"/>
                      <w:sz w:val="22"/>
                      <w:szCs w:val="22"/>
                    </w:rPr>
                    <w:t>+22%</w:t>
                  </w:r>
                </w:p>
              </w:tc>
              <w:tc>
                <w:tcPr>
                  <w:tcW w:w="1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jc w:val="center"/>
                    <w:rPr>
                      <w:rFonts w:ascii="Times New Roman" w:hAnsi="Times New Roman"/>
                      <w:color w:val="auto"/>
                    </w:rPr>
                  </w:pPr>
                  <w:r w:rsidRPr="00EC65DC">
                    <w:rPr>
                      <w:rFonts w:cs="Arial"/>
                      <w:color w:val="000000"/>
                      <w:sz w:val="22"/>
                      <w:szCs w:val="22"/>
                    </w:rPr>
                    <w:t>-11%</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c>
                <w:tcPr>
                  <w:tcW w:w="12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65DC" w:rsidRPr="00EC65DC" w:rsidRDefault="00EC65DC" w:rsidP="002C7178">
                  <w:pPr>
                    <w:suppressAutoHyphens w:val="0"/>
                    <w:autoSpaceDN/>
                    <w:spacing w:after="0" w:line="240" w:lineRule="auto"/>
                    <w:jc w:val="center"/>
                    <w:rPr>
                      <w:rFonts w:ascii="Times New Roman" w:hAnsi="Times New Roman"/>
                      <w:color w:val="auto"/>
                    </w:rPr>
                  </w:pPr>
                  <w:r w:rsidRPr="00EC65DC">
                    <w:rPr>
                      <w:rFonts w:ascii="Calibri" w:hAnsi="Calibri" w:cs="Calibri"/>
                      <w:color w:val="000000"/>
                      <w:sz w:val="22"/>
                      <w:szCs w:val="22"/>
                    </w:rPr>
                    <w:t>33%</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65DC" w:rsidRPr="00EC65DC" w:rsidRDefault="00EC65DC" w:rsidP="002C7178">
                  <w:pPr>
                    <w:suppressAutoHyphens w:val="0"/>
                    <w:autoSpaceDN/>
                    <w:spacing w:after="0" w:line="240" w:lineRule="auto"/>
                    <w:rPr>
                      <w:rFonts w:ascii="Times New Roman" w:hAnsi="Times New Roman"/>
                      <w:color w:val="auto"/>
                    </w:rPr>
                  </w:pPr>
                </w:p>
              </w:tc>
            </w:tr>
          </w:tbl>
          <w:p w:rsidR="00E66558" w:rsidRDefault="00E66558"/>
        </w:tc>
      </w:tr>
    </w:tbl>
    <w:p w:rsidR="00E66558" w:rsidRPr="009C493F" w:rsidRDefault="009D71E8">
      <w:pPr>
        <w:pStyle w:val="Heading2"/>
        <w:spacing w:before="600"/>
        <w:rPr>
          <w:color w:val="auto"/>
        </w:rPr>
      </w:pPr>
      <w:r w:rsidRPr="009C493F">
        <w:rPr>
          <w:color w:val="auto"/>
        </w:rPr>
        <w:t>Externally provided programmes</w:t>
      </w:r>
    </w:p>
    <w:p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505"/>
        <w:gridCol w:w="728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340F8" w:rsidP="006340F8">
            <w:pPr>
              <w:pStyle w:val="TableRow"/>
            </w:pPr>
            <w:r>
              <w:t>Maths and English 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40F8" w:rsidRDefault="006340F8" w:rsidP="006340F8">
            <w:pPr>
              <w:pStyle w:val="TableRowCentered"/>
              <w:jc w:val="left"/>
            </w:pPr>
            <w:r>
              <w:t xml:space="preserve">Protocol Impact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340F8" w:rsidP="006340F8">
            <w:pPr>
              <w:pStyle w:val="TableRow"/>
            </w:pPr>
            <w:r>
              <w:t>Reading online 1 to 1 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340F8">
            <w:pPr>
              <w:pStyle w:val="TableRowCentered"/>
              <w:jc w:val="left"/>
            </w:pPr>
            <w:r>
              <w:t>FFT Reading</w:t>
            </w:r>
          </w:p>
        </w:tc>
      </w:tr>
    </w:tbl>
    <w:p w:rsidR="00E66558" w:rsidRDefault="00E66558"/>
    <w:p w:rsidR="00E66558" w:rsidRDefault="00E66558">
      <w:pPr>
        <w:spacing w:after="0" w:line="240" w:lineRule="auto"/>
      </w:pPr>
    </w:p>
    <w:bookmarkEnd w:id="14"/>
    <w:bookmarkEnd w:id="15"/>
    <w:bookmarkEnd w:id="16"/>
    <w:p w:rsidR="00E66558" w:rsidRDefault="00E66558"/>
    <w:sectPr w:rsidR="00E66558" w:rsidSect="00A02146">
      <w:headerReference w:type="default" r:id="rId40"/>
      <w:footerReference w:type="default" r:id="rId41"/>
      <w:pgSz w:w="16838" w:h="11906" w:orient="landscape"/>
      <w:pgMar w:top="1134" w:right="1134" w:bottom="1276" w:left="1134" w:header="709" w:footer="709" w:gutter="0"/>
      <w:pgBorders w:offsetFrom="page">
        <w:top w:val="single" w:sz="18" w:space="24" w:color="A6A6A6" w:themeColor="background1" w:themeShade="A6"/>
        <w:left w:val="single" w:sz="18" w:space="24" w:color="A6A6A6" w:themeColor="background1" w:themeShade="A6"/>
        <w:bottom w:val="single" w:sz="18" w:space="24" w:color="A6A6A6" w:themeColor="background1" w:themeShade="A6"/>
        <w:right w:val="single" w:sz="18" w:space="24" w:color="A6A6A6" w:themeColor="background1" w:themeShade="A6"/>
      </w:pgBorders>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FFE" w:rsidRDefault="00882FFE">
      <w:pPr>
        <w:spacing w:after="0" w:line="240" w:lineRule="auto"/>
      </w:pPr>
      <w:r>
        <w:separator/>
      </w:r>
    </w:p>
  </w:endnote>
  <w:endnote w:type="continuationSeparator" w:id="0">
    <w:p w:rsidR="00882FFE" w:rsidRDefault="0088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FB" w:rsidRDefault="009205FB" w:rsidP="00A02146">
    <w:pPr>
      <w:pStyle w:val="Footer"/>
      <w:ind w:left="13183" w:firstLine="142"/>
    </w:pPr>
    <w:r>
      <w:rPr>
        <w:color w:val="7F7F7F" w:themeColor="background1" w:themeShade="7F"/>
        <w:spacing w:val="60"/>
      </w:rPr>
      <w:t>Page</w:t>
    </w:r>
    <w:r>
      <w:t xml:space="preserve"> | </w:t>
    </w:r>
    <w:r>
      <w:fldChar w:fldCharType="begin"/>
    </w:r>
    <w:r>
      <w:instrText xml:space="preserve"> PAGE   \* MERGEFORMAT </w:instrText>
    </w:r>
    <w:r>
      <w:fldChar w:fldCharType="separate"/>
    </w:r>
    <w:r w:rsidR="00AD11DB" w:rsidRPr="00AD11DB">
      <w:rPr>
        <w:b/>
        <w:noProof/>
      </w:rPr>
      <w:t>10</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FFE" w:rsidRDefault="00882FFE">
      <w:pPr>
        <w:spacing w:after="0" w:line="240" w:lineRule="auto"/>
      </w:pPr>
      <w:r>
        <w:separator/>
      </w:r>
    </w:p>
  </w:footnote>
  <w:footnote w:type="continuationSeparator" w:id="0">
    <w:p w:rsidR="00882FFE" w:rsidRDefault="0088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FB" w:rsidRDefault="009205FB">
    <w:pPr>
      <w:pStyle w:val="Header"/>
    </w:pPr>
    <w:r w:rsidRPr="009C493F">
      <w:rPr>
        <w:noProof/>
      </w:rPr>
      <w:drawing>
        <wp:anchor distT="0" distB="0" distL="114300" distR="114300" simplePos="0" relativeHeight="251659264" behindDoc="0" locked="0" layoutInCell="1" allowOverlap="1">
          <wp:simplePos x="0" y="0"/>
          <wp:positionH relativeFrom="margin">
            <wp:posOffset>8747760</wp:posOffset>
          </wp:positionH>
          <wp:positionV relativeFrom="margin">
            <wp:posOffset>-329565</wp:posOffset>
          </wp:positionV>
          <wp:extent cx="581025" cy="581025"/>
          <wp:effectExtent l="19050" t="0" r="9525" b="0"/>
          <wp:wrapSquare wrapText="bothSides"/>
          <wp:docPr id="5" name="Picture 4" descr="Mead Badge -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ad Badge - MASTER.png"/>
                  <pic:cNvPicPr>
                    <a:picLocks noChangeAspect="1" noChangeArrowheads="1"/>
                  </pic:cNvPicPr>
                </pic:nvPicPr>
                <pic:blipFill>
                  <a:blip r:embed="rId1"/>
                  <a:srcRect/>
                  <a:stretch>
                    <a:fillRect/>
                  </a:stretch>
                </pic:blipFill>
                <pic:spPr bwMode="auto">
                  <a:xfrm>
                    <a:off x="0" y="0"/>
                    <a:ext cx="581025"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421F"/>
    <w:multiLevelType w:val="multilevel"/>
    <w:tmpl w:val="9E16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DA728FD"/>
    <w:multiLevelType w:val="hybridMultilevel"/>
    <w:tmpl w:val="770EDE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D20343F"/>
    <w:multiLevelType w:val="hybridMultilevel"/>
    <w:tmpl w:val="9310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E18DA7"/>
    <w:multiLevelType w:val="hybridMultilevel"/>
    <w:tmpl w:val="5A0864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45A244A"/>
    <w:multiLevelType w:val="hybridMultilevel"/>
    <w:tmpl w:val="CAD83CA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1"/>
  </w:num>
  <w:num w:numId="6">
    <w:abstractNumId w:val="9"/>
  </w:num>
  <w:num w:numId="7">
    <w:abstractNumId w:val="13"/>
  </w:num>
  <w:num w:numId="8">
    <w:abstractNumId w:val="17"/>
  </w:num>
  <w:num w:numId="9">
    <w:abstractNumId w:val="15"/>
  </w:num>
  <w:num w:numId="10">
    <w:abstractNumId w:val="14"/>
  </w:num>
  <w:num w:numId="11">
    <w:abstractNumId w:val="3"/>
  </w:num>
  <w:num w:numId="12">
    <w:abstractNumId w:val="16"/>
  </w:num>
  <w:num w:numId="13">
    <w:abstractNumId w:val="11"/>
  </w:num>
  <w:num w:numId="14">
    <w:abstractNumId w:val="0"/>
  </w:num>
  <w:num w:numId="15">
    <w:abstractNumId w:val="8"/>
  </w:num>
  <w:num w:numId="16">
    <w:abstractNumId w:val="12"/>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6558"/>
    <w:rsid w:val="00064673"/>
    <w:rsid w:val="00066B73"/>
    <w:rsid w:val="00115C5E"/>
    <w:rsid w:val="00120AB1"/>
    <w:rsid w:val="001751A6"/>
    <w:rsid w:val="002264D8"/>
    <w:rsid w:val="00277B47"/>
    <w:rsid w:val="002C7178"/>
    <w:rsid w:val="003B192C"/>
    <w:rsid w:val="003B6767"/>
    <w:rsid w:val="004044AA"/>
    <w:rsid w:val="00456F02"/>
    <w:rsid w:val="004718FB"/>
    <w:rsid w:val="004E731C"/>
    <w:rsid w:val="005140D1"/>
    <w:rsid w:val="005478FE"/>
    <w:rsid w:val="00583652"/>
    <w:rsid w:val="005A3267"/>
    <w:rsid w:val="006340F8"/>
    <w:rsid w:val="0067654E"/>
    <w:rsid w:val="006E5A07"/>
    <w:rsid w:val="006E7FB1"/>
    <w:rsid w:val="00741B9E"/>
    <w:rsid w:val="00763777"/>
    <w:rsid w:val="007C2F04"/>
    <w:rsid w:val="007C47DF"/>
    <w:rsid w:val="007F1C57"/>
    <w:rsid w:val="008274C9"/>
    <w:rsid w:val="00882FFE"/>
    <w:rsid w:val="009205FB"/>
    <w:rsid w:val="009573D7"/>
    <w:rsid w:val="009C493F"/>
    <w:rsid w:val="009D2E60"/>
    <w:rsid w:val="009D71E8"/>
    <w:rsid w:val="009E6382"/>
    <w:rsid w:val="009F2632"/>
    <w:rsid w:val="009F4089"/>
    <w:rsid w:val="00A02146"/>
    <w:rsid w:val="00A06DDF"/>
    <w:rsid w:val="00AD11DB"/>
    <w:rsid w:val="00AD6D18"/>
    <w:rsid w:val="00AE78E9"/>
    <w:rsid w:val="00BC6B71"/>
    <w:rsid w:val="00C32EFC"/>
    <w:rsid w:val="00CC14A5"/>
    <w:rsid w:val="00CC278E"/>
    <w:rsid w:val="00D33FE5"/>
    <w:rsid w:val="00D72175"/>
    <w:rsid w:val="00DC6684"/>
    <w:rsid w:val="00E26A6F"/>
    <w:rsid w:val="00E31B3C"/>
    <w:rsid w:val="00E66558"/>
    <w:rsid w:val="00EC65DC"/>
    <w:rsid w:val="00EF7A31"/>
    <w:rsid w:val="00F02608"/>
    <w:rsid w:val="00F26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E1CAC"/>
  <w15:docId w15:val="{728982F7-B382-45EA-9D0B-D6C6AA0C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52"/>
    <w:pPr>
      <w:suppressAutoHyphens/>
      <w:spacing w:after="240" w:line="288" w:lineRule="auto"/>
    </w:pPr>
    <w:rPr>
      <w:color w:val="0D0D0D"/>
      <w:sz w:val="24"/>
      <w:szCs w:val="24"/>
    </w:rPr>
  </w:style>
  <w:style w:type="paragraph" w:styleId="Heading1">
    <w:name w:val="heading 1"/>
    <w:basedOn w:val="Normal"/>
    <w:next w:val="Normal"/>
    <w:uiPriority w:val="9"/>
    <w:qFormat/>
    <w:rsid w:val="00583652"/>
    <w:pPr>
      <w:pageBreakBefore/>
      <w:spacing w:line="240" w:lineRule="auto"/>
      <w:outlineLvl w:val="0"/>
    </w:pPr>
    <w:rPr>
      <w:b/>
      <w:color w:val="104F75"/>
      <w:sz w:val="36"/>
    </w:rPr>
  </w:style>
  <w:style w:type="paragraph" w:styleId="Heading2">
    <w:name w:val="heading 2"/>
    <w:basedOn w:val="Normal"/>
    <w:next w:val="Normal"/>
    <w:uiPriority w:val="9"/>
    <w:unhideWhenUsed/>
    <w:qFormat/>
    <w:rsid w:val="00583652"/>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rsid w:val="00583652"/>
    <w:pPr>
      <w:spacing w:before="360"/>
      <w:outlineLvl w:val="2"/>
    </w:pPr>
    <w:rPr>
      <w:bCs/>
      <w:sz w:val="28"/>
      <w:szCs w:val="28"/>
    </w:rPr>
  </w:style>
  <w:style w:type="paragraph" w:styleId="Heading4">
    <w:name w:val="heading 4"/>
    <w:basedOn w:val="Heading2"/>
    <w:next w:val="Normal"/>
    <w:uiPriority w:val="9"/>
    <w:semiHidden/>
    <w:unhideWhenUsed/>
    <w:qFormat/>
    <w:rsid w:val="00583652"/>
    <w:pPr>
      <w:spacing w:before="240"/>
      <w:outlineLvl w:val="3"/>
    </w:pPr>
    <w:rPr>
      <w:bCs/>
      <w:sz w:val="24"/>
      <w:szCs w:val="28"/>
    </w:rPr>
  </w:style>
  <w:style w:type="paragraph" w:styleId="Heading5">
    <w:name w:val="heading 5"/>
    <w:basedOn w:val="Normal"/>
    <w:next w:val="Normal"/>
    <w:uiPriority w:val="9"/>
    <w:semiHidden/>
    <w:unhideWhenUsed/>
    <w:qFormat/>
    <w:rsid w:val="0058365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rsid w:val="00583652"/>
    <w:pPr>
      <w:numPr>
        <w:ilvl w:val="5"/>
        <w:numId w:val="1"/>
      </w:numPr>
      <w:spacing w:before="240" w:after="60"/>
      <w:outlineLvl w:val="5"/>
    </w:pPr>
    <w:rPr>
      <w:rFonts w:ascii="Calibri" w:hAnsi="Calibri"/>
      <w:b/>
      <w:bCs/>
      <w:szCs w:val="22"/>
    </w:rPr>
  </w:style>
  <w:style w:type="paragraph" w:styleId="Heading7">
    <w:name w:val="heading 7"/>
    <w:basedOn w:val="Normal"/>
    <w:next w:val="Normal"/>
    <w:rsid w:val="00583652"/>
    <w:pPr>
      <w:numPr>
        <w:ilvl w:val="6"/>
        <w:numId w:val="1"/>
      </w:numPr>
      <w:spacing w:before="240" w:after="60"/>
      <w:outlineLvl w:val="6"/>
    </w:pPr>
    <w:rPr>
      <w:rFonts w:ascii="Calibri" w:hAnsi="Calibri"/>
    </w:rPr>
  </w:style>
  <w:style w:type="paragraph" w:styleId="Heading8">
    <w:name w:val="heading 8"/>
    <w:basedOn w:val="Normal"/>
    <w:next w:val="Normal"/>
    <w:rsid w:val="00583652"/>
    <w:pPr>
      <w:numPr>
        <w:ilvl w:val="7"/>
        <w:numId w:val="1"/>
      </w:numPr>
      <w:spacing w:before="240" w:after="60"/>
      <w:outlineLvl w:val="7"/>
    </w:pPr>
    <w:rPr>
      <w:rFonts w:ascii="Calibri" w:hAnsi="Calibri"/>
      <w:i/>
      <w:iCs/>
    </w:rPr>
  </w:style>
  <w:style w:type="paragraph" w:styleId="Heading9">
    <w:name w:val="heading 9"/>
    <w:basedOn w:val="Normal"/>
    <w:next w:val="Normal"/>
    <w:rsid w:val="00583652"/>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583652"/>
    <w:pPr>
      <w:numPr>
        <w:numId w:val="1"/>
      </w:numPr>
    </w:pPr>
  </w:style>
  <w:style w:type="character" w:customStyle="1" w:styleId="Heading1Char">
    <w:name w:val="Heading 1 Char"/>
    <w:rsid w:val="00583652"/>
    <w:rPr>
      <w:b/>
      <w:color w:val="104F75"/>
      <w:sz w:val="36"/>
      <w:szCs w:val="24"/>
    </w:rPr>
  </w:style>
  <w:style w:type="character" w:customStyle="1" w:styleId="Heading2Char">
    <w:name w:val="Heading 2 Char"/>
    <w:rsid w:val="00583652"/>
    <w:rPr>
      <w:b/>
      <w:color w:val="104F75"/>
      <w:sz w:val="32"/>
      <w:szCs w:val="32"/>
    </w:rPr>
  </w:style>
  <w:style w:type="character" w:customStyle="1" w:styleId="Heading3Char">
    <w:name w:val="Heading 3 Char"/>
    <w:rsid w:val="00583652"/>
    <w:rPr>
      <w:b/>
      <w:bCs/>
      <w:color w:val="104F75"/>
      <w:sz w:val="28"/>
      <w:szCs w:val="28"/>
    </w:rPr>
  </w:style>
  <w:style w:type="character" w:styleId="Hyperlink">
    <w:name w:val="Hyperlink"/>
    <w:rsid w:val="00583652"/>
    <w:rPr>
      <w:rFonts w:ascii="Arial" w:hAnsi="Arial"/>
      <w:color w:val="0000FF"/>
      <w:sz w:val="24"/>
      <w:u w:val="single"/>
    </w:rPr>
  </w:style>
  <w:style w:type="paragraph" w:styleId="TOCHeading">
    <w:name w:val="TOC Heading"/>
    <w:basedOn w:val="Normal"/>
    <w:next w:val="Normal"/>
    <w:rsid w:val="00583652"/>
    <w:pPr>
      <w:pageBreakBefore/>
    </w:pPr>
    <w:rPr>
      <w:rFonts w:cs="Arial"/>
      <w:b/>
      <w:color w:val="365F91"/>
      <w:sz w:val="36"/>
      <w:szCs w:val="28"/>
      <w:lang w:eastAsia="ja-JP"/>
    </w:rPr>
  </w:style>
  <w:style w:type="paragraph" w:customStyle="1" w:styleId="TitleText">
    <w:name w:val="TitleText"/>
    <w:basedOn w:val="Normal"/>
    <w:rsid w:val="00583652"/>
    <w:pPr>
      <w:spacing w:before="3600" w:line="240" w:lineRule="auto"/>
    </w:pPr>
    <w:rPr>
      <w:rFonts w:cs="Arial"/>
      <w:b/>
      <w:color w:val="104F75"/>
      <w:sz w:val="92"/>
      <w:szCs w:val="92"/>
    </w:rPr>
  </w:style>
  <w:style w:type="character" w:customStyle="1" w:styleId="TitleTextChar">
    <w:name w:val="TitleText Char"/>
    <w:rsid w:val="00583652"/>
    <w:rPr>
      <w:rFonts w:cs="Arial"/>
      <w:b/>
      <w:color w:val="104F75"/>
      <w:sz w:val="92"/>
      <w:szCs w:val="92"/>
    </w:rPr>
  </w:style>
  <w:style w:type="paragraph" w:customStyle="1" w:styleId="SubtitleText">
    <w:name w:val="SubtitleText"/>
    <w:basedOn w:val="Normal"/>
    <w:rsid w:val="00583652"/>
    <w:pPr>
      <w:spacing w:after="1520"/>
    </w:pPr>
    <w:rPr>
      <w:rFonts w:cs="Arial"/>
      <w:b/>
      <w:color w:val="104F75"/>
      <w:sz w:val="48"/>
      <w:szCs w:val="48"/>
    </w:rPr>
  </w:style>
  <w:style w:type="character" w:customStyle="1" w:styleId="SubtitleTextChar">
    <w:name w:val="SubtitleText Char"/>
    <w:rsid w:val="00583652"/>
    <w:rPr>
      <w:rFonts w:cs="Arial"/>
      <w:b/>
      <w:color w:val="104F75"/>
      <w:sz w:val="48"/>
      <w:szCs w:val="48"/>
    </w:rPr>
  </w:style>
  <w:style w:type="paragraph" w:styleId="ListBullet">
    <w:name w:val="List Bullet"/>
    <w:basedOn w:val="ListBullet5"/>
    <w:rsid w:val="00583652"/>
    <w:pPr>
      <w:numPr>
        <w:numId w:val="5"/>
      </w:numPr>
      <w:contextualSpacing/>
    </w:pPr>
  </w:style>
  <w:style w:type="paragraph" w:styleId="TOC1">
    <w:name w:val="toc 1"/>
    <w:basedOn w:val="Normal"/>
    <w:next w:val="Normal"/>
    <w:autoRedefine/>
    <w:rsid w:val="00583652"/>
    <w:pPr>
      <w:tabs>
        <w:tab w:val="right" w:pos="9498"/>
      </w:tabs>
      <w:spacing w:after="120"/>
    </w:pPr>
  </w:style>
  <w:style w:type="paragraph" w:styleId="TOC2">
    <w:name w:val="toc 2"/>
    <w:basedOn w:val="Normal"/>
    <w:next w:val="Normal"/>
    <w:autoRedefine/>
    <w:rsid w:val="00583652"/>
    <w:pPr>
      <w:tabs>
        <w:tab w:val="right" w:pos="9498"/>
      </w:tabs>
      <w:spacing w:after="120"/>
      <w:ind w:left="238"/>
    </w:pPr>
  </w:style>
  <w:style w:type="paragraph" w:styleId="TOC3">
    <w:name w:val="toc 3"/>
    <w:basedOn w:val="Normal"/>
    <w:next w:val="Normal"/>
    <w:autoRedefine/>
    <w:rsid w:val="00583652"/>
    <w:pPr>
      <w:tabs>
        <w:tab w:val="right" w:pos="9498"/>
      </w:tabs>
      <w:spacing w:after="120"/>
      <w:ind w:left="480"/>
    </w:pPr>
  </w:style>
  <w:style w:type="paragraph" w:customStyle="1" w:styleId="CopyrightBox">
    <w:name w:val="CopyrightBox"/>
    <w:basedOn w:val="Normal"/>
    <w:rsid w:val="00583652"/>
  </w:style>
  <w:style w:type="character" w:customStyle="1" w:styleId="CopyrightBoxChar">
    <w:name w:val="CopyrightBox Char"/>
    <w:rsid w:val="00583652"/>
    <w:rPr>
      <w:color w:val="0D0D0D"/>
      <w:sz w:val="24"/>
      <w:szCs w:val="24"/>
    </w:rPr>
  </w:style>
  <w:style w:type="paragraph" w:customStyle="1" w:styleId="CopyrightSpacing">
    <w:name w:val="CopyrightSpacing"/>
    <w:basedOn w:val="Normal"/>
    <w:rsid w:val="00583652"/>
    <w:pPr>
      <w:spacing w:before="6000" w:after="120"/>
    </w:pPr>
  </w:style>
  <w:style w:type="character" w:customStyle="1" w:styleId="CopyrightSpacingChar">
    <w:name w:val="CopyrightSpacing Char"/>
    <w:rsid w:val="00583652"/>
    <w:rPr>
      <w:sz w:val="24"/>
      <w:szCs w:val="24"/>
    </w:rPr>
  </w:style>
  <w:style w:type="paragraph" w:styleId="Title">
    <w:name w:val="Title"/>
    <w:basedOn w:val="Normal"/>
    <w:next w:val="Normal"/>
    <w:uiPriority w:val="10"/>
    <w:qFormat/>
    <w:rsid w:val="00583652"/>
    <w:pPr>
      <w:spacing w:before="240" w:line="240" w:lineRule="auto"/>
    </w:pPr>
    <w:rPr>
      <w:b/>
      <w:color w:val="104F75"/>
      <w:sz w:val="96"/>
      <w:szCs w:val="120"/>
    </w:rPr>
  </w:style>
  <w:style w:type="character" w:customStyle="1" w:styleId="TitleChar">
    <w:name w:val="Title Char"/>
    <w:rsid w:val="00583652"/>
    <w:rPr>
      <w:rFonts w:ascii="Arial" w:hAnsi="Arial" w:cs="Arial"/>
      <w:b/>
      <w:color w:val="104F75"/>
      <w:sz w:val="96"/>
      <w:szCs w:val="120"/>
      <w:lang w:eastAsia="en-US"/>
    </w:rPr>
  </w:style>
  <w:style w:type="paragraph" w:styleId="TableofFigures">
    <w:name w:val="table of figures"/>
    <w:basedOn w:val="Normal"/>
    <w:next w:val="Normal"/>
    <w:rsid w:val="00583652"/>
    <w:pPr>
      <w:spacing w:after="120"/>
    </w:pPr>
  </w:style>
  <w:style w:type="paragraph" w:styleId="ListBullet4">
    <w:name w:val="List Bullet 4"/>
    <w:basedOn w:val="Normal"/>
    <w:rsid w:val="00583652"/>
    <w:pPr>
      <w:numPr>
        <w:numId w:val="4"/>
      </w:numPr>
      <w:contextualSpacing/>
    </w:pPr>
  </w:style>
  <w:style w:type="paragraph" w:styleId="ListParagraph">
    <w:name w:val="List Paragraph"/>
    <w:basedOn w:val="Normal"/>
    <w:rsid w:val="00583652"/>
    <w:pPr>
      <w:numPr>
        <w:numId w:val="8"/>
      </w:numPr>
      <w:contextualSpacing/>
    </w:pPr>
  </w:style>
  <w:style w:type="paragraph" w:styleId="Caption">
    <w:name w:val="caption"/>
    <w:basedOn w:val="Normal"/>
    <w:next w:val="Normal"/>
    <w:rsid w:val="00583652"/>
    <w:pPr>
      <w:spacing w:before="120" w:after="120"/>
      <w:jc w:val="center"/>
    </w:pPr>
    <w:rPr>
      <w:b/>
      <w:bCs/>
      <w:color w:val="000000"/>
      <w:sz w:val="20"/>
      <w:szCs w:val="20"/>
    </w:rPr>
  </w:style>
  <w:style w:type="character" w:customStyle="1" w:styleId="Heading4Char">
    <w:name w:val="Heading 4 Char"/>
    <w:rsid w:val="00583652"/>
    <w:rPr>
      <w:b/>
      <w:bCs/>
      <w:color w:val="104F75"/>
      <w:sz w:val="24"/>
      <w:szCs w:val="28"/>
    </w:rPr>
  </w:style>
  <w:style w:type="character" w:customStyle="1" w:styleId="Heading5Char">
    <w:name w:val="Heading 5 Char"/>
    <w:rsid w:val="00583652"/>
    <w:rPr>
      <w:rFonts w:ascii="Calibri" w:hAnsi="Calibri"/>
      <w:b/>
      <w:bCs/>
      <w:i/>
      <w:iCs/>
      <w:color w:val="0D0D0D"/>
      <w:sz w:val="26"/>
      <w:szCs w:val="26"/>
    </w:rPr>
  </w:style>
  <w:style w:type="character" w:customStyle="1" w:styleId="Heading6Char">
    <w:name w:val="Heading 6 Char"/>
    <w:rsid w:val="00583652"/>
    <w:rPr>
      <w:rFonts w:ascii="Calibri" w:hAnsi="Calibri"/>
      <w:b/>
      <w:bCs/>
      <w:color w:val="0D0D0D"/>
      <w:sz w:val="24"/>
      <w:szCs w:val="22"/>
    </w:rPr>
  </w:style>
  <w:style w:type="character" w:customStyle="1" w:styleId="Heading7Char">
    <w:name w:val="Heading 7 Char"/>
    <w:rsid w:val="00583652"/>
    <w:rPr>
      <w:rFonts w:ascii="Calibri" w:hAnsi="Calibri"/>
      <w:color w:val="0D0D0D"/>
      <w:sz w:val="24"/>
      <w:szCs w:val="24"/>
    </w:rPr>
  </w:style>
  <w:style w:type="character" w:customStyle="1" w:styleId="Heading8Char">
    <w:name w:val="Heading 8 Char"/>
    <w:rsid w:val="00583652"/>
    <w:rPr>
      <w:rFonts w:ascii="Calibri" w:hAnsi="Calibri"/>
      <w:i/>
      <w:iCs/>
      <w:color w:val="0D0D0D"/>
      <w:sz w:val="24"/>
      <w:szCs w:val="24"/>
    </w:rPr>
  </w:style>
  <w:style w:type="character" w:customStyle="1" w:styleId="Heading9Char">
    <w:name w:val="Heading 9 Char"/>
    <w:rsid w:val="00583652"/>
    <w:rPr>
      <w:rFonts w:ascii="Cambria" w:hAnsi="Cambria"/>
      <w:color w:val="0D0D0D"/>
      <w:sz w:val="24"/>
      <w:szCs w:val="22"/>
    </w:rPr>
  </w:style>
  <w:style w:type="paragraph" w:styleId="BodyText">
    <w:name w:val="Body Text"/>
    <w:basedOn w:val="Normal"/>
    <w:rsid w:val="00583652"/>
    <w:pPr>
      <w:spacing w:after="120"/>
    </w:pPr>
  </w:style>
  <w:style w:type="character" w:customStyle="1" w:styleId="BodyTextChar">
    <w:name w:val="Body Text Char"/>
    <w:basedOn w:val="DefaultParagraphFont"/>
    <w:rsid w:val="00583652"/>
    <w:rPr>
      <w:color w:val="0D0D0D"/>
      <w:sz w:val="24"/>
      <w:szCs w:val="24"/>
    </w:rPr>
  </w:style>
  <w:style w:type="paragraph" w:customStyle="1" w:styleId="TableHeader">
    <w:name w:val="TableHeader"/>
    <w:rsid w:val="00583652"/>
    <w:pPr>
      <w:suppressAutoHyphens/>
      <w:spacing w:before="60" w:after="60"/>
      <w:ind w:left="57" w:right="57"/>
      <w:jc w:val="center"/>
    </w:pPr>
    <w:rPr>
      <w:b/>
      <w:color w:val="0D0D0D"/>
      <w:sz w:val="24"/>
      <w:szCs w:val="24"/>
    </w:rPr>
  </w:style>
  <w:style w:type="paragraph" w:styleId="BalloonText">
    <w:name w:val="Balloon Text"/>
    <w:basedOn w:val="Normal"/>
    <w:rsid w:val="00583652"/>
    <w:pPr>
      <w:spacing w:after="0" w:line="240" w:lineRule="auto"/>
    </w:pPr>
    <w:rPr>
      <w:rFonts w:ascii="Tahoma" w:hAnsi="Tahoma" w:cs="Tahoma"/>
      <w:sz w:val="16"/>
      <w:szCs w:val="16"/>
    </w:rPr>
  </w:style>
  <w:style w:type="character" w:customStyle="1" w:styleId="BalloonTextChar">
    <w:name w:val="Balloon Text Char"/>
    <w:rsid w:val="00583652"/>
    <w:rPr>
      <w:rFonts w:ascii="Tahoma" w:hAnsi="Tahoma" w:cs="Tahoma"/>
      <w:sz w:val="16"/>
      <w:szCs w:val="16"/>
    </w:rPr>
  </w:style>
  <w:style w:type="paragraph" w:customStyle="1" w:styleId="TableRow">
    <w:name w:val="TableRow"/>
    <w:rsid w:val="00583652"/>
    <w:pPr>
      <w:suppressAutoHyphens/>
      <w:spacing w:before="60" w:after="60"/>
      <w:ind w:left="57" w:right="57"/>
    </w:pPr>
    <w:rPr>
      <w:color w:val="0D0D0D"/>
      <w:sz w:val="24"/>
      <w:szCs w:val="24"/>
    </w:rPr>
  </w:style>
  <w:style w:type="character" w:customStyle="1" w:styleId="TableRowChar">
    <w:name w:val="TableRow Char"/>
    <w:rsid w:val="00583652"/>
    <w:rPr>
      <w:color w:val="0D0D0D"/>
      <w:sz w:val="24"/>
      <w:szCs w:val="24"/>
    </w:rPr>
  </w:style>
  <w:style w:type="paragraph" w:styleId="Header">
    <w:name w:val="header"/>
    <w:basedOn w:val="Normal"/>
    <w:rsid w:val="00583652"/>
    <w:pPr>
      <w:tabs>
        <w:tab w:val="center" w:pos="4513"/>
        <w:tab w:val="right" w:pos="9026"/>
      </w:tabs>
      <w:spacing w:after="0" w:line="240" w:lineRule="auto"/>
    </w:pPr>
  </w:style>
  <w:style w:type="character" w:customStyle="1" w:styleId="HeaderChar">
    <w:name w:val="Header Char"/>
    <w:basedOn w:val="DefaultParagraphFont"/>
    <w:rsid w:val="00583652"/>
    <w:rPr>
      <w:color w:val="0D0D0D"/>
      <w:sz w:val="24"/>
      <w:szCs w:val="24"/>
    </w:rPr>
  </w:style>
  <w:style w:type="paragraph" w:styleId="Footer">
    <w:name w:val="footer"/>
    <w:basedOn w:val="Normal"/>
    <w:rsid w:val="00583652"/>
    <w:pPr>
      <w:tabs>
        <w:tab w:val="center" w:pos="4513"/>
        <w:tab w:val="right" w:pos="9026"/>
      </w:tabs>
      <w:spacing w:after="0" w:line="240" w:lineRule="auto"/>
    </w:pPr>
  </w:style>
  <w:style w:type="character" w:customStyle="1" w:styleId="FooterChar">
    <w:name w:val="Footer Char"/>
    <w:basedOn w:val="DefaultParagraphFont"/>
    <w:rsid w:val="00583652"/>
    <w:rPr>
      <w:color w:val="0D0D0D"/>
      <w:sz w:val="24"/>
      <w:szCs w:val="24"/>
    </w:rPr>
  </w:style>
  <w:style w:type="character" w:styleId="FollowedHyperlink">
    <w:name w:val="FollowedHyperlink"/>
    <w:basedOn w:val="DefaultParagraphFont"/>
    <w:rsid w:val="00583652"/>
    <w:rPr>
      <w:color w:val="0000FF"/>
      <w:u w:val="single"/>
    </w:rPr>
  </w:style>
  <w:style w:type="paragraph" w:styleId="FootnoteText">
    <w:name w:val="footnote text"/>
    <w:basedOn w:val="Normal"/>
    <w:rsid w:val="00583652"/>
    <w:pPr>
      <w:spacing w:after="60" w:line="240" w:lineRule="auto"/>
    </w:pPr>
    <w:rPr>
      <w:sz w:val="20"/>
      <w:szCs w:val="20"/>
    </w:rPr>
  </w:style>
  <w:style w:type="character" w:customStyle="1" w:styleId="FootnoteTextChar">
    <w:name w:val="Footnote Text Char"/>
    <w:basedOn w:val="DefaultParagraphFont"/>
    <w:rsid w:val="00583652"/>
  </w:style>
  <w:style w:type="character" w:styleId="FootnoteReference">
    <w:name w:val="footnote reference"/>
    <w:basedOn w:val="DefaultParagraphFont"/>
    <w:rsid w:val="00583652"/>
    <w:rPr>
      <w:position w:val="0"/>
      <w:vertAlign w:val="superscript"/>
    </w:rPr>
  </w:style>
  <w:style w:type="character" w:customStyle="1" w:styleId="RGB">
    <w:name w:val="RGB"/>
    <w:basedOn w:val="DefaultParagraphFont"/>
    <w:rsid w:val="00583652"/>
    <w:rPr>
      <w:b/>
      <w:bCs/>
      <w:sz w:val="20"/>
    </w:rPr>
  </w:style>
  <w:style w:type="paragraph" w:customStyle="1" w:styleId="ColouredBoxHeadline">
    <w:name w:val="Coloured Box Headline"/>
    <w:basedOn w:val="Normal"/>
    <w:rsid w:val="00583652"/>
    <w:pPr>
      <w:spacing w:before="120"/>
    </w:pPr>
    <w:rPr>
      <w:b/>
      <w:bCs/>
      <w:sz w:val="28"/>
      <w:szCs w:val="20"/>
    </w:rPr>
  </w:style>
  <w:style w:type="character" w:customStyle="1" w:styleId="RGBValues">
    <w:name w:val="RGB Values"/>
    <w:basedOn w:val="DefaultParagraphFont"/>
    <w:rsid w:val="00583652"/>
    <w:rPr>
      <w:sz w:val="20"/>
    </w:rPr>
  </w:style>
  <w:style w:type="paragraph" w:styleId="ListBullet5">
    <w:name w:val="List Bullet 5"/>
    <w:basedOn w:val="Normal"/>
    <w:rsid w:val="00583652"/>
  </w:style>
  <w:style w:type="character" w:styleId="CommentReference">
    <w:name w:val="annotation reference"/>
    <w:basedOn w:val="DefaultParagraphFont"/>
    <w:rsid w:val="00583652"/>
  </w:style>
  <w:style w:type="paragraph" w:styleId="CommentText">
    <w:name w:val="annotation text"/>
    <w:basedOn w:val="Normal"/>
    <w:rsid w:val="00583652"/>
    <w:pPr>
      <w:spacing w:line="240" w:lineRule="auto"/>
    </w:pPr>
    <w:rPr>
      <w:sz w:val="20"/>
      <w:szCs w:val="20"/>
    </w:rPr>
  </w:style>
  <w:style w:type="character" w:customStyle="1" w:styleId="CommentTextChar">
    <w:name w:val="Comment Text Char"/>
    <w:basedOn w:val="DefaultParagraphFont"/>
    <w:rsid w:val="00583652"/>
  </w:style>
  <w:style w:type="paragraph" w:styleId="CommentSubject">
    <w:name w:val="annotation subject"/>
    <w:basedOn w:val="CommentText"/>
    <w:next w:val="CommentText"/>
    <w:rsid w:val="00583652"/>
    <w:rPr>
      <w:b/>
      <w:bCs/>
    </w:rPr>
  </w:style>
  <w:style w:type="character" w:customStyle="1" w:styleId="CommentSubjectChar">
    <w:name w:val="Comment Subject Char"/>
    <w:basedOn w:val="CommentTextChar"/>
    <w:rsid w:val="00583652"/>
    <w:rPr>
      <w:b/>
      <w:bCs/>
    </w:rPr>
  </w:style>
  <w:style w:type="paragraph" w:customStyle="1" w:styleId="Centredembed">
    <w:name w:val="Centred embed"/>
    <w:basedOn w:val="Normal"/>
    <w:rsid w:val="00583652"/>
    <w:pPr>
      <w:spacing w:after="0"/>
      <w:jc w:val="center"/>
    </w:pPr>
    <w:rPr>
      <w:szCs w:val="20"/>
    </w:rPr>
  </w:style>
  <w:style w:type="paragraph" w:styleId="Date">
    <w:name w:val="Date"/>
    <w:basedOn w:val="Normal"/>
    <w:next w:val="Normal"/>
    <w:rsid w:val="00583652"/>
    <w:rPr>
      <w:rFonts w:cs="Arial"/>
      <w:b/>
      <w:bCs/>
      <w:color w:val="104F75"/>
      <w:sz w:val="44"/>
      <w:szCs w:val="44"/>
    </w:rPr>
  </w:style>
  <w:style w:type="character" w:customStyle="1" w:styleId="DateChar">
    <w:name w:val="Date Char"/>
    <w:basedOn w:val="DefaultParagraphFont"/>
    <w:rsid w:val="00583652"/>
    <w:rPr>
      <w:rFonts w:cs="Arial"/>
      <w:b/>
      <w:bCs/>
      <w:color w:val="104F75"/>
      <w:sz w:val="44"/>
      <w:szCs w:val="44"/>
    </w:rPr>
  </w:style>
  <w:style w:type="character" w:customStyle="1" w:styleId="SourceChar">
    <w:name w:val="Source Char"/>
    <w:basedOn w:val="DefaultParagraphFont"/>
    <w:rsid w:val="00583652"/>
  </w:style>
  <w:style w:type="paragraph" w:customStyle="1" w:styleId="Source">
    <w:name w:val="Source"/>
    <w:basedOn w:val="Normal"/>
    <w:rsid w:val="00583652"/>
    <w:pPr>
      <w:jc w:val="right"/>
    </w:pPr>
    <w:rPr>
      <w:sz w:val="20"/>
      <w:szCs w:val="20"/>
    </w:rPr>
  </w:style>
  <w:style w:type="paragraph" w:customStyle="1" w:styleId="DfESOutNumbered1">
    <w:name w:val="DfESOutNumbered1"/>
    <w:basedOn w:val="Normal"/>
    <w:rsid w:val="00583652"/>
    <w:pPr>
      <w:numPr>
        <w:numId w:val="3"/>
      </w:numPr>
    </w:pPr>
  </w:style>
  <w:style w:type="character" w:customStyle="1" w:styleId="DfESOutNumbered1Char">
    <w:name w:val="DfESOutNumbered1 Char"/>
    <w:rsid w:val="00583652"/>
    <w:rPr>
      <w:sz w:val="24"/>
      <w:szCs w:val="24"/>
    </w:rPr>
  </w:style>
  <w:style w:type="paragraph" w:customStyle="1" w:styleId="TableRowRight">
    <w:name w:val="TableRowRight"/>
    <w:basedOn w:val="TableRow"/>
    <w:rsid w:val="00583652"/>
    <w:pPr>
      <w:jc w:val="right"/>
    </w:pPr>
    <w:rPr>
      <w:szCs w:val="20"/>
    </w:rPr>
  </w:style>
  <w:style w:type="paragraph" w:customStyle="1" w:styleId="TableRowCentered">
    <w:name w:val="TableRowCentered"/>
    <w:basedOn w:val="TableRow"/>
    <w:rsid w:val="00583652"/>
    <w:pPr>
      <w:jc w:val="center"/>
    </w:pPr>
    <w:rPr>
      <w:szCs w:val="20"/>
    </w:rPr>
  </w:style>
  <w:style w:type="paragraph" w:customStyle="1" w:styleId="SocialMedia">
    <w:name w:val="SocialMedia"/>
    <w:basedOn w:val="Normal"/>
    <w:rsid w:val="00583652"/>
    <w:pPr>
      <w:tabs>
        <w:tab w:val="left" w:pos="4253"/>
        <w:tab w:val="left" w:pos="4820"/>
      </w:tabs>
      <w:spacing w:after="0" w:line="240" w:lineRule="auto"/>
      <w:ind w:firstLine="34"/>
    </w:pPr>
  </w:style>
  <w:style w:type="paragraph" w:customStyle="1" w:styleId="Reference">
    <w:name w:val="Reference"/>
    <w:basedOn w:val="Normal"/>
    <w:rsid w:val="00583652"/>
    <w:pPr>
      <w:tabs>
        <w:tab w:val="left" w:pos="1701"/>
      </w:tabs>
      <w:spacing w:before="240"/>
    </w:pPr>
  </w:style>
  <w:style w:type="character" w:customStyle="1" w:styleId="SocialMediaChar">
    <w:name w:val="SocialMedia Char"/>
    <w:basedOn w:val="DefaultParagraphFont"/>
    <w:rsid w:val="00583652"/>
    <w:rPr>
      <w:sz w:val="24"/>
      <w:szCs w:val="24"/>
    </w:rPr>
  </w:style>
  <w:style w:type="paragraph" w:customStyle="1" w:styleId="Licence">
    <w:name w:val="Licence"/>
    <w:basedOn w:val="Normal"/>
    <w:rsid w:val="00583652"/>
    <w:pPr>
      <w:tabs>
        <w:tab w:val="left" w:pos="1418"/>
      </w:tabs>
      <w:ind w:left="284"/>
      <w:contextualSpacing/>
    </w:pPr>
  </w:style>
  <w:style w:type="character" w:customStyle="1" w:styleId="ReferenceChar">
    <w:name w:val="Reference Char"/>
    <w:basedOn w:val="DefaultParagraphFont"/>
    <w:rsid w:val="00583652"/>
    <w:rPr>
      <w:color w:val="0D0D0D"/>
      <w:sz w:val="24"/>
      <w:szCs w:val="24"/>
    </w:rPr>
  </w:style>
  <w:style w:type="paragraph" w:customStyle="1" w:styleId="LicenceIntro">
    <w:name w:val="LicenceIntro"/>
    <w:basedOn w:val="Licence"/>
    <w:rsid w:val="00583652"/>
    <w:pPr>
      <w:spacing w:after="0"/>
      <w:ind w:left="0"/>
    </w:pPr>
    <w:rPr>
      <w:szCs w:val="20"/>
    </w:rPr>
  </w:style>
  <w:style w:type="character" w:customStyle="1" w:styleId="LicenceChar">
    <w:name w:val="Licence Char"/>
    <w:basedOn w:val="DefaultParagraphFont"/>
    <w:rsid w:val="00583652"/>
    <w:rPr>
      <w:sz w:val="24"/>
      <w:szCs w:val="24"/>
    </w:rPr>
  </w:style>
  <w:style w:type="paragraph" w:styleId="ListBullet2">
    <w:name w:val="List Bullet 2"/>
    <w:basedOn w:val="Normal"/>
    <w:rsid w:val="00583652"/>
    <w:pPr>
      <w:numPr>
        <w:numId w:val="6"/>
      </w:numPr>
      <w:tabs>
        <w:tab w:val="left" w:pos="491"/>
      </w:tabs>
      <w:contextualSpacing/>
    </w:pPr>
  </w:style>
  <w:style w:type="paragraph" w:customStyle="1" w:styleId="Logos">
    <w:name w:val="Logos"/>
    <w:basedOn w:val="Normal"/>
    <w:rsid w:val="00583652"/>
    <w:pPr>
      <w:pageBreakBefore/>
      <w:widowControl w:val="0"/>
    </w:pPr>
  </w:style>
  <w:style w:type="character" w:customStyle="1" w:styleId="LogosChar">
    <w:name w:val="Logos Char"/>
    <w:basedOn w:val="DefaultParagraphFont"/>
    <w:rsid w:val="00583652"/>
    <w:rPr>
      <w:color w:val="0D0D0D"/>
      <w:sz w:val="24"/>
      <w:szCs w:val="24"/>
    </w:rPr>
  </w:style>
  <w:style w:type="paragraph" w:styleId="ListBullet3">
    <w:name w:val="List Bullet 3"/>
    <w:basedOn w:val="Normal"/>
    <w:rsid w:val="00583652"/>
    <w:pPr>
      <w:numPr>
        <w:numId w:val="7"/>
      </w:numPr>
      <w:contextualSpacing/>
    </w:pPr>
  </w:style>
  <w:style w:type="paragraph" w:customStyle="1" w:styleId="DfESOutNumbered">
    <w:name w:val="DfESOutNumbered"/>
    <w:basedOn w:val="Normal"/>
    <w:rsid w:val="00583652"/>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sid w:val="00583652"/>
    <w:rPr>
      <w:rFonts w:cs="Arial"/>
      <w:color w:val="0D0D0D"/>
      <w:sz w:val="22"/>
      <w:szCs w:val="24"/>
      <w:lang w:eastAsia="en-US"/>
    </w:rPr>
  </w:style>
  <w:style w:type="paragraph" w:customStyle="1" w:styleId="DeptBullets">
    <w:name w:val="DeptBullets"/>
    <w:basedOn w:val="Normal"/>
    <w:rsid w:val="00583652"/>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sid w:val="00583652"/>
    <w:rPr>
      <w:color w:val="0D0D0D"/>
      <w:sz w:val="24"/>
      <w:szCs w:val="24"/>
      <w:lang w:eastAsia="en-US"/>
    </w:rPr>
  </w:style>
  <w:style w:type="paragraph" w:customStyle="1" w:styleId="TOCHeader">
    <w:name w:val="TOC Header"/>
    <w:rsid w:val="00583652"/>
    <w:pPr>
      <w:pageBreakBefore/>
      <w:suppressAutoHyphens/>
    </w:pPr>
    <w:rPr>
      <w:b/>
      <w:color w:val="104F75"/>
      <w:sz w:val="36"/>
      <w:szCs w:val="24"/>
    </w:rPr>
  </w:style>
  <w:style w:type="character" w:customStyle="1" w:styleId="TOCHeaderChar">
    <w:name w:val="TOC Header Char"/>
    <w:rsid w:val="00583652"/>
    <w:rPr>
      <w:b/>
      <w:color w:val="104F75"/>
      <w:sz w:val="36"/>
      <w:szCs w:val="24"/>
    </w:rPr>
  </w:style>
  <w:style w:type="paragraph" w:styleId="BodyTextIndent">
    <w:name w:val="Body Text Indent"/>
    <w:basedOn w:val="Normal"/>
    <w:rsid w:val="00583652"/>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sid w:val="00583652"/>
    <w:rPr>
      <w:sz w:val="24"/>
      <w:lang w:eastAsia="en-US"/>
    </w:rPr>
  </w:style>
  <w:style w:type="paragraph" w:customStyle="1" w:styleId="DeptOutNumbered">
    <w:name w:val="DeptOutNumbered"/>
    <w:basedOn w:val="Normal"/>
    <w:rsid w:val="00583652"/>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rsid w:val="00583652"/>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rsid w:val="00583652"/>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rsid w:val="00583652"/>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rsid w:val="00583652"/>
  </w:style>
  <w:style w:type="character" w:customStyle="1" w:styleId="PersonalComposeStyle">
    <w:name w:val="Personal Compose Style"/>
    <w:basedOn w:val="DefaultParagraphFont"/>
    <w:rsid w:val="00583652"/>
    <w:rPr>
      <w:rFonts w:ascii="Arial" w:hAnsi="Arial" w:cs="Arial"/>
      <w:color w:val="auto"/>
      <w:sz w:val="20"/>
    </w:rPr>
  </w:style>
  <w:style w:type="character" w:customStyle="1" w:styleId="PersonalReplyStyle">
    <w:name w:val="Personal Reply Style"/>
    <w:basedOn w:val="DefaultParagraphFont"/>
    <w:rsid w:val="00583652"/>
    <w:rPr>
      <w:rFonts w:ascii="Arial" w:hAnsi="Arial" w:cs="Arial"/>
      <w:color w:val="auto"/>
      <w:sz w:val="20"/>
    </w:rPr>
  </w:style>
  <w:style w:type="paragraph" w:customStyle="1" w:styleId="Sub-Heading">
    <w:name w:val="Sub-Heading"/>
    <w:basedOn w:val="Heading"/>
    <w:next w:val="Numbered"/>
    <w:rsid w:val="00583652"/>
    <w:pPr>
      <w:spacing w:before="0"/>
    </w:pPr>
  </w:style>
  <w:style w:type="paragraph" w:styleId="Subtitle">
    <w:name w:val="Subtitle"/>
    <w:basedOn w:val="Normal"/>
    <w:uiPriority w:val="11"/>
    <w:qFormat/>
    <w:rsid w:val="00583652"/>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sid w:val="00583652"/>
    <w:rPr>
      <w:i/>
      <w:sz w:val="24"/>
      <w:lang w:eastAsia="en-US"/>
    </w:rPr>
  </w:style>
  <w:style w:type="paragraph" w:customStyle="1" w:styleId="DfESBullets">
    <w:name w:val="DfESBullets"/>
    <w:basedOn w:val="Normal"/>
    <w:rsid w:val="00583652"/>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sid w:val="00583652"/>
    <w:rPr>
      <w:color w:val="605E5C"/>
      <w:shd w:val="clear" w:color="auto" w:fill="E1DFDD"/>
    </w:rPr>
  </w:style>
  <w:style w:type="numbering" w:customStyle="1" w:styleId="WWOutlineListStyle">
    <w:name w:val="WW_OutlineListStyle"/>
    <w:basedOn w:val="NoList"/>
    <w:rsid w:val="00583652"/>
    <w:pPr>
      <w:numPr>
        <w:numId w:val="2"/>
      </w:numPr>
    </w:pPr>
  </w:style>
  <w:style w:type="numbering" w:customStyle="1" w:styleId="LFO3">
    <w:name w:val="LFO3"/>
    <w:basedOn w:val="NoList"/>
    <w:rsid w:val="00583652"/>
    <w:pPr>
      <w:numPr>
        <w:numId w:val="3"/>
      </w:numPr>
    </w:pPr>
  </w:style>
  <w:style w:type="numbering" w:customStyle="1" w:styleId="LFO4">
    <w:name w:val="LFO4"/>
    <w:basedOn w:val="NoList"/>
    <w:rsid w:val="00583652"/>
    <w:pPr>
      <w:numPr>
        <w:numId w:val="4"/>
      </w:numPr>
    </w:pPr>
  </w:style>
  <w:style w:type="numbering" w:customStyle="1" w:styleId="LFO6">
    <w:name w:val="LFO6"/>
    <w:basedOn w:val="NoList"/>
    <w:rsid w:val="00583652"/>
    <w:pPr>
      <w:numPr>
        <w:numId w:val="5"/>
      </w:numPr>
    </w:pPr>
  </w:style>
  <w:style w:type="numbering" w:customStyle="1" w:styleId="LFO9">
    <w:name w:val="LFO9"/>
    <w:basedOn w:val="NoList"/>
    <w:rsid w:val="00583652"/>
    <w:pPr>
      <w:numPr>
        <w:numId w:val="6"/>
      </w:numPr>
    </w:pPr>
  </w:style>
  <w:style w:type="numbering" w:customStyle="1" w:styleId="LFO10">
    <w:name w:val="LFO10"/>
    <w:basedOn w:val="NoList"/>
    <w:rsid w:val="00583652"/>
    <w:pPr>
      <w:numPr>
        <w:numId w:val="7"/>
      </w:numPr>
    </w:pPr>
  </w:style>
  <w:style w:type="numbering" w:customStyle="1" w:styleId="LFO25">
    <w:name w:val="LFO25"/>
    <w:basedOn w:val="NoList"/>
    <w:rsid w:val="00583652"/>
    <w:pPr>
      <w:numPr>
        <w:numId w:val="8"/>
      </w:numPr>
    </w:pPr>
  </w:style>
  <w:style w:type="numbering" w:customStyle="1" w:styleId="LFO28">
    <w:name w:val="LFO28"/>
    <w:basedOn w:val="NoList"/>
    <w:rsid w:val="00583652"/>
    <w:pPr>
      <w:numPr>
        <w:numId w:val="9"/>
      </w:numPr>
    </w:pPr>
  </w:style>
  <w:style w:type="numbering" w:customStyle="1" w:styleId="LFO30">
    <w:name w:val="LFO30"/>
    <w:basedOn w:val="NoList"/>
    <w:rsid w:val="00583652"/>
    <w:pPr>
      <w:numPr>
        <w:numId w:val="10"/>
      </w:numPr>
    </w:pPr>
  </w:style>
  <w:style w:type="numbering" w:customStyle="1" w:styleId="LFO34">
    <w:name w:val="LFO34"/>
    <w:basedOn w:val="NoList"/>
    <w:rsid w:val="00583652"/>
    <w:pPr>
      <w:numPr>
        <w:numId w:val="11"/>
      </w:numPr>
    </w:pPr>
  </w:style>
  <w:style w:type="numbering" w:customStyle="1" w:styleId="LFO36">
    <w:name w:val="LFO36"/>
    <w:basedOn w:val="NoList"/>
    <w:rsid w:val="00583652"/>
    <w:pPr>
      <w:numPr>
        <w:numId w:val="12"/>
      </w:numPr>
    </w:pPr>
  </w:style>
  <w:style w:type="paragraph" w:styleId="NormalWeb">
    <w:name w:val="Normal (Web)"/>
    <w:basedOn w:val="Normal"/>
    <w:uiPriority w:val="99"/>
    <w:unhideWhenUsed/>
    <w:rsid w:val="00A02146"/>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E2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F2632"/>
    <w:pPr>
      <w:autoSpaceDN/>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5140D1"/>
    <w:pPr>
      <w:autoSpaceDE w:val="0"/>
      <w:adjustRightInd w:val="0"/>
    </w:pPr>
    <w:rPr>
      <w:rFonts w:cs="Arial"/>
      <w:color w:val="000000"/>
      <w:sz w:val="24"/>
      <w:szCs w:val="24"/>
    </w:rPr>
  </w:style>
  <w:style w:type="character" w:customStyle="1" w:styleId="UnresolvedMention">
    <w:name w:val="Unresolved Mention"/>
    <w:basedOn w:val="DefaultParagraphFont"/>
    <w:uiPriority w:val="99"/>
    <w:semiHidden/>
    <w:unhideWhenUsed/>
    <w:rsid w:val="00F02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68254">
      <w:bodyDiv w:val="1"/>
      <w:marLeft w:val="0"/>
      <w:marRight w:val="0"/>
      <w:marTop w:val="0"/>
      <w:marBottom w:val="0"/>
      <w:divBdr>
        <w:top w:val="none" w:sz="0" w:space="0" w:color="auto"/>
        <w:left w:val="none" w:sz="0" w:space="0" w:color="auto"/>
        <w:bottom w:val="none" w:sz="0" w:space="0" w:color="auto"/>
        <w:right w:val="none" w:sz="0" w:space="0" w:color="auto"/>
      </w:divBdr>
      <w:divsChild>
        <w:div w:id="904992727">
          <w:marLeft w:val="40"/>
          <w:marRight w:val="0"/>
          <w:marTop w:val="0"/>
          <w:marBottom w:val="0"/>
          <w:divBdr>
            <w:top w:val="none" w:sz="0" w:space="0" w:color="auto"/>
            <w:left w:val="none" w:sz="0" w:space="0" w:color="auto"/>
            <w:bottom w:val="none" w:sz="0" w:space="0" w:color="auto"/>
            <w:right w:val="none" w:sz="0" w:space="0" w:color="auto"/>
          </w:divBdr>
        </w:div>
      </w:divsChild>
    </w:div>
    <w:div w:id="903220654">
      <w:bodyDiv w:val="1"/>
      <w:marLeft w:val="0"/>
      <w:marRight w:val="0"/>
      <w:marTop w:val="0"/>
      <w:marBottom w:val="0"/>
      <w:divBdr>
        <w:top w:val="none" w:sz="0" w:space="0" w:color="auto"/>
        <w:left w:val="none" w:sz="0" w:space="0" w:color="auto"/>
        <w:bottom w:val="none" w:sz="0" w:space="0" w:color="auto"/>
        <w:right w:val="none" w:sz="0" w:space="0" w:color="auto"/>
      </w:divBdr>
    </w:div>
    <w:div w:id="1709600644">
      <w:bodyDiv w:val="1"/>
      <w:marLeft w:val="0"/>
      <w:marRight w:val="0"/>
      <w:marTop w:val="0"/>
      <w:marBottom w:val="0"/>
      <w:divBdr>
        <w:top w:val="none" w:sz="0" w:space="0" w:color="auto"/>
        <w:left w:val="none" w:sz="0" w:space="0" w:color="auto"/>
        <w:bottom w:val="none" w:sz="0" w:space="0" w:color="auto"/>
        <w:right w:val="none" w:sz="0" w:space="0" w:color="auto"/>
      </w:divBdr>
    </w:div>
    <w:div w:id="2022704555">
      <w:bodyDiv w:val="1"/>
      <w:marLeft w:val="0"/>
      <w:marRight w:val="0"/>
      <w:marTop w:val="0"/>
      <w:marBottom w:val="0"/>
      <w:divBdr>
        <w:top w:val="none" w:sz="0" w:space="0" w:color="auto"/>
        <w:left w:val="none" w:sz="0" w:space="0" w:color="auto"/>
        <w:bottom w:val="none" w:sz="0" w:space="0" w:color="auto"/>
        <w:right w:val="none" w:sz="0" w:space="0" w:color="auto"/>
      </w:divBdr>
      <w:divsChild>
        <w:div w:id="166143710">
          <w:marLeft w:val="-300"/>
          <w:marRight w:val="0"/>
          <w:marTop w:val="0"/>
          <w:marBottom w:val="0"/>
          <w:divBdr>
            <w:top w:val="none" w:sz="0" w:space="0" w:color="auto"/>
            <w:left w:val="none" w:sz="0" w:space="0" w:color="auto"/>
            <w:bottom w:val="none" w:sz="0" w:space="0" w:color="auto"/>
            <w:right w:val="none" w:sz="0" w:space="0" w:color="auto"/>
          </w:divBdr>
          <w:divsChild>
            <w:div w:id="2046445556">
              <w:marLeft w:val="300"/>
              <w:marRight w:val="0"/>
              <w:marTop w:val="0"/>
              <w:marBottom w:val="0"/>
              <w:divBdr>
                <w:top w:val="none" w:sz="0" w:space="0" w:color="auto"/>
                <w:left w:val="none" w:sz="0" w:space="0" w:color="auto"/>
                <w:bottom w:val="none" w:sz="0" w:space="0" w:color="auto"/>
                <w:right w:val="none" w:sz="0" w:space="0" w:color="auto"/>
              </w:divBdr>
            </w:div>
          </w:divsChild>
        </w:div>
        <w:div w:id="288753497">
          <w:marLeft w:val="-300"/>
          <w:marRight w:val="0"/>
          <w:marTop w:val="0"/>
          <w:marBottom w:val="0"/>
          <w:divBdr>
            <w:top w:val="none" w:sz="0" w:space="0" w:color="auto"/>
            <w:left w:val="none" w:sz="0" w:space="0" w:color="auto"/>
            <w:bottom w:val="none" w:sz="0" w:space="0" w:color="auto"/>
            <w:right w:val="none" w:sz="0" w:space="0" w:color="auto"/>
          </w:divBdr>
          <w:divsChild>
            <w:div w:id="20448214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ducationendowmentfoundation.org.uk/education-evidence/teaching-learning-toolkit/mentoring" TargetMode="External"/><Relationship Id="rId18" Type="http://schemas.openxmlformats.org/officeDocument/2006/relationships/hyperlink" Target="https://educationendowmentfoundation.org.uk/education-evidence/teaching-learning-toolkit/reading-comprehension-strategies" TargetMode="External"/><Relationship Id="rId26" Type="http://schemas.openxmlformats.org/officeDocument/2006/relationships/hyperlink" Target="https://educationendowmentfoundation.org.uk/education-evidence/teaching-learning-toolkit/arts-participation" TargetMode="External"/><Relationship Id="rId39" Type="http://schemas.openxmlformats.org/officeDocument/2006/relationships/hyperlink" Target="https://educationendowmentfoundation.org.uk/education-evidence/evidence-reviews/attendance-interventions-rapid-evidence-assessment?utm_source=/education-evidence/evidence-reviews/attendance-interventions-rapid-evidence-assessment&amp;utm_medium=search&amp;utm_campaign=site_search&amp;search_term=attendance"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teaching-assistant-interventions" TargetMode="External"/><Relationship Id="rId34" Type="http://schemas.openxmlformats.org/officeDocument/2006/relationships/hyperlink" Target="https://educationendowmentfoundation.org.uk/education-evidence/evidence-reviews/attendance-interventions-rapid-evidence-assessment?utm_source=/education-evidence/evidence-reviews/attendance-interventions-rapid-evidence-assessment&amp;utm_medium=search&amp;utm_campaign=site_search&amp;search_term=attendance"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ov.uk/government/publications/pupil-premium/pupil-premium" TargetMode="External"/><Relationship Id="rId17" Type="http://schemas.openxmlformats.org/officeDocument/2006/relationships/hyperlink" Target="https://educationendowmentfoundation.org.uk/education-evidence/teaching-learning-toolkit/phonics" TargetMode="External"/><Relationship Id="rId25" Type="http://schemas.openxmlformats.org/officeDocument/2006/relationships/hyperlink" Target="https://educationendowmentfoundation.org.uk/education-evidence/teaching-learning-toolkit/arts-participation" TargetMode="External"/><Relationship Id="rId33" Type="http://schemas.openxmlformats.org/officeDocument/2006/relationships/hyperlink" Target="https://educationendowmentfoundation.org.uk/education-evidence/teaching-learning-toolkit/social-and-emotional-learning" TargetMode="External"/><Relationship Id="rId38" Type="http://schemas.openxmlformats.org/officeDocument/2006/relationships/hyperlink" Target="https://educationendowmentfoundation.org.uk/education-evidence/teaching-learning-toolkit/parental-engagement"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mastery-learning" TargetMode="External"/><Relationship Id="rId20" Type="http://schemas.openxmlformats.org/officeDocument/2006/relationships/hyperlink" Target="https://educationendowmentfoundation.org.uk/education-evidence/teaching-learning-toolkit/small-group-tuition" TargetMode="External"/><Relationship Id="rId29" Type="http://schemas.openxmlformats.org/officeDocument/2006/relationships/hyperlink" Target="https://educationendowmentfoundation.org.uk/education-evidence/teaching-learning-toolkit/physical-activity"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feedback" TargetMode="External"/><Relationship Id="rId24" Type="http://schemas.openxmlformats.org/officeDocument/2006/relationships/hyperlink" Target="https://educationendowmentfoundation.org.uk/education-evidence/teaching-learning-toolkit/physical-activity" TargetMode="External"/><Relationship Id="rId32" Type="http://schemas.openxmlformats.org/officeDocument/2006/relationships/hyperlink" Target="https://educationendowmentfoundation.org.uk/education-evidence/teaching-learning-toolkit/social-and-emotional-learning" TargetMode="External"/><Relationship Id="rId37" Type="http://schemas.openxmlformats.org/officeDocument/2006/relationships/hyperlink" Target="https://educationendowmentfoundation.org.uk/education-evidence/teaching-learning-toolkit/school-unifor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arts-participation" TargetMode="External"/><Relationship Id="rId23" Type="http://schemas.openxmlformats.org/officeDocument/2006/relationships/hyperlink" Target="https://educationendowmentfoundation.org.uk/education-evidence/teaching-learning-toolkit/arts-participation" TargetMode="External"/><Relationship Id="rId28" Type="http://schemas.openxmlformats.org/officeDocument/2006/relationships/hyperlink" Target="https://educationendowmentfoundation.org.uk/education-evidence/teaching-learning-toolkit/social-and-emotional-learning" TargetMode="External"/><Relationship Id="rId36" Type="http://schemas.openxmlformats.org/officeDocument/2006/relationships/hyperlink" Target="https://educationendowmentfoundation.org.uk/education-evidence/evidence-reviews/attendance-interventions-rapid-evidence-assessment?utm_source=/education-evidence/evidence-reviews/attendance-interventions-rapid-evidence-assessment&amp;utm_medium=search&amp;utm_campaign=site_search&amp;search_term=attendance" TargetMode="External"/><Relationship Id="rId10" Type="http://schemas.openxmlformats.org/officeDocument/2006/relationships/hyperlink" Target="https://educationendowmentfoundation.org.uk/education-evidence/teaching-learning-toolkit/metacognition-and-self-regulation" TargetMode="External"/><Relationship Id="rId19" Type="http://schemas.openxmlformats.org/officeDocument/2006/relationships/hyperlink" Target="https://educationendowmentfoundation.org.uk/education-evidence/teaching-learning-toolkit/mastery-learning" TargetMode="External"/><Relationship Id="rId31"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 TargetMode="External"/><Relationship Id="rId14" Type="http://schemas.openxmlformats.org/officeDocument/2006/relationships/hyperlink" Target="https://educationendowmentfoundation.org.uk/education-evidence/teaching-learning-toolkit/teaching-assistant-interventions" TargetMode="External"/><Relationship Id="rId22" Type="http://schemas.openxmlformats.org/officeDocument/2006/relationships/hyperlink" Target="https://educationendowmentfoundation.org.uk/education-evidence/teaching-learning-toolkit/collaborative-learning-approaches" TargetMode="External"/><Relationship Id="rId27" Type="http://schemas.openxmlformats.org/officeDocument/2006/relationships/hyperlink" Target="https://educationendowmentfoundation.org.uk/education-evidence/teaching-learning-toolkit/outdoor-adventure-learning" TargetMode="External"/><Relationship Id="rId30" Type="http://schemas.openxmlformats.org/officeDocument/2006/relationships/hyperlink" Target="https://educationendowmentfoundation.org.uk/education-evidence/teaching-learning-toolkit/summer-schools" TargetMode="External"/><Relationship Id="rId35" Type="http://schemas.openxmlformats.org/officeDocument/2006/relationships/hyperlink" Target="https://educationendowmentfoundation.org.uk/education-evidence/teaching-learning-toolkit/behaviour-interventions"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HP</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Christine</cp:lastModifiedBy>
  <cp:revision>9</cp:revision>
  <cp:lastPrinted>2014-09-17T13:26:00Z</cp:lastPrinted>
  <dcterms:created xsi:type="dcterms:W3CDTF">2021-11-08T17:53:00Z</dcterms:created>
  <dcterms:modified xsi:type="dcterms:W3CDTF">2022-01-26T18:10:00Z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